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8.png" ContentType="image/png"/>
  <Override PartName="/word/media/rId46.png" ContentType="image/png"/>
  <Override PartName="/word/media/rId52.png" ContentType="image/png"/>
  <Override PartName="/word/media/rId69.png" ContentType="image/png"/>
  <Override PartName="/word/media/rId264.png" ContentType="image/png"/>
  <Override PartName="/word/media/rId267.png" ContentType="image/png"/>
  <Override PartName="/word/media/rId63.png" ContentType="image/png"/>
  <Override PartName="/word/media/rId270.png" ContentType="image/png"/>
  <Override PartName="/word/media/rId35.png" ContentType="image/png"/>
  <Override PartName="/word/media/rId49.png" ContentType="image/png"/>
  <Override PartName="/word/media/rId2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2024-06-10</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occupying distinct niches, currently across tropical and sub-tropical</w:t>
      </w:r>
      <w:r>
        <w:t xml:space="preserve"> </w:t>
      </w:r>
      <w:r>
        <w:t xml:space="preserve">oligotrophic ocean regions, including Oxygen Minimum Zones. Ocean</w:t>
      </w:r>
      <w:r>
        <w:t xml:space="preserve"> </w:t>
      </w:r>
      <w:r>
        <w:t xml:space="preserve">warming may open growth-permissive temperatures in new, poleward photic</w:t>
      </w:r>
      <w:r>
        <w:t xml:space="preserve"> </w:t>
      </w:r>
      <w:r>
        <w:t xml:space="preserve">regimes, along with expanded Oxygen Minimum Zones. We used ocean metaproteomic</w:t>
      </w:r>
      <w:r>
        <w:t xml:space="preserve"> </w:t>
      </w:r>
      <w:r>
        <w:t xml:space="preserve">data on current</w:t>
      </w:r>
      <w:r>
        <w:t xml:space="preserve"> </w:t>
      </w:r>
      <w:r>
        <w:rPr>
          <w:iCs/>
          <w:i/>
        </w:rPr>
        <w:t xml:space="preserve">Prochlorococcus marinus</w:t>
      </w:r>
      <w:r>
        <w:t xml:space="preserve"> </w:t>
      </w:r>
      <w:r>
        <w:t xml:space="preserve">niches, to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MED4, however, relies upon an alternative oxidase to 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possibly the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limitations on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 In warming oceans, range expansions and competition among clades will be governed not only by light levels. Short photoperiods governed by latitude, temperate winters, and depth attenuation of light, will exclude clade HLI (including MED4) from some habitats. In contrast, clade LLII/III (including SS120), and particularly clade LLIV (including MIT9313), may exploit higher light niches nearer the surface, under expanding OMZ conditions, where low O</w:t>
      </w:r>
      <w:r>
        <w:rPr>
          <w:vertAlign w:val="subscript"/>
        </w:rPr>
        <w:t xml:space="preserve">2</w:t>
      </w:r>
      <w:r>
        <w:t xml:space="preserve"> </w:t>
      </w:r>
      <w:r>
        <w:t xml:space="preserve">relieves the stresses of oxidation stress and PSII photoinhibition.</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 marinus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 marinus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in</w:t>
      </w:r>
      <w:r>
        <w:t xml:space="preserve"> </w:t>
      </w:r>
      <w:r>
        <w:t xml:space="preserve">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 marinus</w:t>
      </w:r>
      <w:r>
        <w:t xml:space="preserve"> </w:t>
      </w:r>
      <w:r>
        <w:t xml:space="preserve">radiation, and has been characterized by preference for low</w:t>
      </w:r>
      <w:r>
        <w:t xml:space="preserve"> </w:t>
      </w:r>
      <w:r>
        <w:t xml:space="preserve">light, typical of depths from 120 m to 200 m</w:t>
      </w:r>
      <w:r>
        <w:t xml:space="preserve"> </w:t>
      </w:r>
      <w:r>
        <w:t xml:space="preserve">[2]</w:t>
      </w:r>
      <w:r>
        <w:t xml:space="preserve">. Clade LLIV members are,</w:t>
      </w:r>
      <w:r>
        <w:t xml:space="preserve"> </w:t>
      </w:r>
      <w:r>
        <w:t xml:space="preserve">as yet, the only cultured</w:t>
      </w:r>
      <w:r>
        <w:t xml:space="preserve"> </w:t>
      </w:r>
      <w:r>
        <w:rPr>
          <w:iCs/>
          <w:i/>
        </w:rPr>
        <w:t xml:space="preserve">P. marinus</w:t>
      </w:r>
      <w:r>
        <w:t xml:space="preserve"> </w:t>
      </w:r>
      <w:r>
        <w:t xml:space="preserve">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X76234c6a382ef9537bfb90944af6a543ccb348f"/>
    <w:p>
      <w:pPr>
        <w:pStyle w:val="Heading2"/>
      </w:pPr>
      <w:r>
        <w:rPr>
          <w:iCs/>
          <w:i/>
        </w:rPr>
        <w:t xml:space="preserve">Prochlorococcus marinus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 Follett</w:t>
      </w:r>
      <w:r>
        <w:t xml:space="preserve"> </w:t>
      </w:r>
      <w:r>
        <w:rPr>
          <w:iCs/>
          <w:i/>
        </w:rPr>
        <w:t xml:space="preserve">et al</w:t>
      </w:r>
      <w:r>
        <w:t xml:space="preserve">.</w:t>
      </w:r>
      <w:r>
        <w:t xml:space="preserve"> </w:t>
      </w:r>
      <w:r>
        <w:t xml:space="preserve">[25]</w:t>
      </w:r>
      <w:r>
        <w:t xml:space="preserve">, however, model interactions of heterotrophic bacteria that may influence latitudinal expansions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 marinus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rate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rate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photoperiods and spectral waveband ranges,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PAR levels, and spectral bands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PAR levels or spectral bands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rate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 marinus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 marinus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packages</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 marinus</w:t>
      </w:r>
      <w:r>
        <w:t xml:space="preserve"> </w:t>
      </w:r>
      <w:r>
        <w:t xml:space="preserve">protein, detected from 0 to 300 m below the surface, annotated as a</w:t>
      </w:r>
      <w:r>
        <w:t xml:space="preserve"> </w:t>
      </w:r>
      <w:r>
        <w:t xml:space="preserve">subunit of</w:t>
      </w:r>
      <w:r>
        <w:t xml:space="preserve"> </w:t>
      </w:r>
      <w:r>
        <w:rPr>
          <w:iCs/>
          <w:i/>
        </w:rPr>
        <w:t xml:space="preserve">P. marinus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 marinus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 marinus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from all protein subunits from the protein complex, to increase probability of detection.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annotations are limited due to the high conservation of the target protein complexes, the two step approach of peptide-to-spectrum matching using deep paired metagenomics, does assign proteins at the level of clades.</w:t>
      </w:r>
    </w:p>
    <w:bookmarkEnd w:id="32"/>
    <w:bookmarkStart w:id="33" w:name="X6c7d4d4f62cded0f7dfddee26ec329f85e3f3df"/>
    <w:p>
      <w:pPr>
        <w:pStyle w:val="Heading2"/>
      </w:pPr>
      <w:r>
        <w:rPr>
          <w:iCs/>
          <w:i/>
        </w:rPr>
        <w:t xml:space="preserve">Prochlorococcus marinus</w:t>
      </w:r>
      <w:r>
        <w:t xml:space="preserve"> </w:t>
      </w:r>
      <w:r>
        <w:t xml:space="preserve">culturing and experimental design</w:t>
      </w:r>
    </w:p>
    <w:p>
      <w:pPr>
        <w:pStyle w:val="FirstParagraph"/>
      </w:pPr>
      <w:r>
        <w:rPr>
          <w:iCs/>
          <w:i/>
        </w:rPr>
        <w:t xml:space="preserve">Prochlorococcus marinus</w:t>
      </w:r>
      <w:r>
        <w:t xml:space="preserve"> </w:t>
      </w:r>
      <w:r>
        <w:t xml:space="preserve">remain challenging to culture at high densities or under fluctuating environments,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rate experiments were then performed using MCMIX-OD or MC1000-OD</w:t>
      </w:r>
      <w:r>
        <w:t xml:space="preserve"> </w:t>
      </w:r>
      <w:r>
        <w:t xml:space="preserve">PSI Multicultivators (Fig</w:t>
      </w:r>
      <w:r>
        <w:t xml:space="preserve"> </w:t>
      </w:r>
      <w:r>
        <w:t xml:space="preserve">11</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around mid day of the 12 h maintenance photoperiod with 10 mL of growing maintenance preculture, to reach a starting OD680 of approximately 0.020. The tubes containing the cultures were then placed in the Multicultivator water bath set at 22°C, sparged with the experimental [O</w:t>
      </w:r>
      <w:r>
        <w:rPr>
          <w:vertAlign w:val="subscript"/>
        </w:rPr>
        <w:t xml:space="preserve">2</w:t>
      </w:r>
      <w:r>
        <w:t xml:space="preserve">], and kept at low light until late afternoon. Cultures were then in the dark for 12 to 16 hr until the photoregime of a sinusoidal photoperiod commenced the following morning, reaching peak PAR at noon each day. Cultures thus took approximately 24 h to move gradually from maintenance photoregime to the peak PAR of the experimental photoregime. Cultures were grown for 7 to 14 days, until they reached stationary phase at OD680 of approximately 0.4 to 0.8 after approximately 5 generations of growth.</w:t>
      </w:r>
    </w:p>
    <w:p>
      <w:pPr>
        <w:pStyle w:val="BodyText"/>
      </w:pPr>
      <w:r>
        <w:t xml:space="preserve">In a factorial matrix design, each tube was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rate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12</w:t>
      </w:r>
      <w:r>
        <w:t xml:space="preserve"> </w:t>
      </w:r>
      <w:r>
        <w:t xml:space="preserve">is an example of chlorophyll</w:t>
      </w:r>
      <w:r>
        <w:t xml:space="preserve"> </w:t>
      </w:r>
      <w:r>
        <w:t xml:space="preserve">specific growth rate estimates fitted from the high resolution ΔOD</w:t>
      </w:r>
      <w:r>
        <w:t xml:space="preserve"> </w:t>
      </w:r>
      <w:r>
        <w:t xml:space="preserve">measurements for each tube in a Multicultivator. The residuals of the</w:t>
      </w:r>
      <w:r>
        <w:t xml:space="preserve"> </w:t>
      </w:r>
      <w:r>
        <w:t xml:space="preserve">logistic growth rate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rate trends. We also included GAM</w:t>
      </w:r>
      <w:r>
        <w:t xml:space="preserve"> </w:t>
      </w:r>
      <w:r>
        <w:t xml:space="preserve">analyses of growth rate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13</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rate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rate data for each combination of strain and [O</w:t>
      </w:r>
      <w:r>
        <w:rPr>
          <w:vertAlign w:val="subscript"/>
        </w:rPr>
        <w:t xml:space="preserve">2</w:t>
      </w:r>
      <w:r>
        <w:t xml:space="preserve">].</w:t>
      </w:r>
      <w:r>
        <w:t xml:space="preserve"> </w:t>
      </w:r>
      <w:r>
        <w:t xml:space="preserve">Photoperiod growth rate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X5d8894b3c1261cf20a310d084ccb953fedcf1ea"/>
    <w:p>
      <w:pPr>
        <w:pStyle w:val="Heading2"/>
      </w:pPr>
      <w:r>
        <w:rPr>
          <w:iCs/>
          <w:i/>
        </w:rPr>
        <w:t xml:space="preserve">Prochlorococcus marinus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 marinus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3" w:name="results-and-discussion"/>
    <w:p>
      <w:pPr>
        <w:pStyle w:val="Heading1"/>
      </w:pPr>
      <w:r>
        <w:t xml:space="preserve">Results and discussion</w:t>
      </w:r>
    </w:p>
    <w:bookmarkStart w:id="45" w:name="X6b7a8f6fb65a3d0a653762785f1d15ad1b19ae0"/>
    <w:p>
      <w:pPr>
        <w:pStyle w:val="Heading2"/>
      </w:pPr>
      <w:r>
        <w:t xml:space="preserve">Detection of proteins from</w:t>
      </w:r>
      <w:r>
        <w:t xml:space="preserve"> </w:t>
      </w:r>
      <w:r>
        <w:rPr>
          <w:iCs/>
          <w:i/>
        </w:rPr>
        <w:t xml:space="preserve">Prochlorococcus marinus</w:t>
      </w:r>
      <w:r>
        <w:t xml:space="preserve"> </w:t>
      </w:r>
      <w:r>
        <w:t xml:space="preserve">Clades across O</w:t>
      </w:r>
      <w:r>
        <w:rPr>
          <w:vertAlign w:val="subscript"/>
        </w:rPr>
        <w:t xml:space="preserve">2</w:t>
      </w:r>
      <w:r>
        <w:t xml:space="preserve"> </w:t>
      </w:r>
      <w:r>
        <w:t xml:space="preserve">and light niches in the ocean</w:t>
      </w:r>
    </w:p>
    <w:p>
      <w:pPr>
        <w:pStyle w:val="FirstParagraph"/>
      </w:pPr>
      <w:r>
        <w:t xml:space="preserve">Proteins from</w:t>
      </w:r>
      <w:r>
        <w:t xml:space="preserve"> </w:t>
      </w:r>
      <w:r>
        <w:rPr>
          <w:iCs/>
          <w:i/>
        </w:rPr>
        <w:t xml:space="preserve">P. marinus</w:t>
      </w:r>
      <w:r>
        <w:t xml:space="preserve"> </w:t>
      </w:r>
      <w:r>
        <w:t xml:space="preserve">were detected across depths and oxygen concentrations in the OPP data set</w:t>
      </w:r>
      <w:r>
        <w:t xml:space="preserve"> </w:t>
      </w:r>
      <w:r>
        <w:t xml:space="preserve">[43]</w:t>
      </w:r>
      <w:r>
        <w:t xml:space="preserve">. We focused our analyses on core photosynthetic protein complexes, annotated as coming from clades HLI (2 strains, including strain MED4 ); LLI (2 strains, including strain NATL2A); LLII/III (2 strains, including strain SS120) and LLIV (2 strains, including MIT9313) (Fig</w:t>
      </w:r>
      <w:r>
        <w:t xml:space="preserve"> </w:t>
      </w:r>
      <w:r>
        <w:t xml:space="preserve">2</w:t>
      </w:r>
      <w:r>
        <w:t xml:space="preserve">), as a function of depth (a</w:t>
      </w:r>
      <w:r>
        <w:t xml:space="preserve"> </w:t>
      </w:r>
      <w:r>
        <w:t xml:space="preserve">proxy for light level) and measured [O</w:t>
      </w:r>
      <w:r>
        <w:rPr>
          <w:vertAlign w:val="subscript"/>
        </w:rPr>
        <w:t xml:space="preserve">2</w:t>
      </w:r>
      <w:r>
        <w:t xml:space="preserve">] at the sampling locations. Photosynthetic complexes</w:t>
      </w:r>
      <w:r>
        <w:t xml:space="preserve"> </w:t>
      </w:r>
      <w:r>
        <w:t xml:space="preserve">from clades HLI and LLI were detected throughout the water column, although predominately at stations with high [O</w:t>
      </w:r>
      <w:r>
        <w:rPr>
          <w:vertAlign w:val="subscript"/>
        </w:rPr>
        <w:t xml:space="preserve">2</w:t>
      </w:r>
      <w:r>
        <w:t xml:space="preserve">]. Though present and expressed in the genome of MED4</w:t>
      </w:r>
      <w:r>
        <w:t xml:space="preserve"> </w:t>
      </w:r>
      <w:r>
        <w:t xml:space="preserve">[65]</w:t>
      </w:r>
      <w:r>
        <w:t xml:space="preserve">, the absence of proteins annotated as RUBISCO complex for clade HLI, compared to annotated detections of RUBISCO across the other three clades, suggests</w:t>
      </w:r>
      <w:r>
        <w:t xml:space="preserve"> </w:t>
      </w:r>
      <w:r>
        <w:t xml:space="preserve">limitations in the annotation process assigning highly conserved protein</w:t>
      </w:r>
      <w:r>
        <w:t xml:space="preserve"> </w:t>
      </w:r>
      <w:r>
        <w:t xml:space="preserve">sequences to clades. Notwithstanding limitations on assignments of proteins to clades, detections of the abundant carbon fixation complex RUBISCO derived from clades HLI, LLI and LLII/III were notably absent from stations at low [O</w:t>
      </w:r>
      <w:r>
        <w:rPr>
          <w:vertAlign w:val="subscript"/>
        </w:rPr>
        <w:t xml:space="preserve">2</w:t>
      </w:r>
      <w:r>
        <w:t xml:space="preserve">], suggesting limited capacity for carbon fixation by clades HLI, LLI and LLII/LLIII under low [O</w:t>
      </w:r>
      <w:r>
        <w:rPr>
          <w:vertAlign w:val="subscript"/>
        </w:rPr>
        <w:t xml:space="preserve">2</w:t>
      </w:r>
      <w:r>
        <w:t xml:space="preserve">] habitats. Clade LLII/LLIII</w:t>
      </w:r>
      <w:r>
        <w:t xml:space="preserve"> </w:t>
      </w:r>
      <w:r>
        <w:t xml:space="preserve">photosynthetic complexes were detected throughout the sampled ranges of depth/light and [O</w:t>
      </w:r>
      <w:r>
        <w:rPr>
          <w:vertAlign w:val="subscript"/>
        </w:rPr>
        <w:t xml:space="preserve">2</w:t>
      </w:r>
      <w:r>
        <w:t xml:space="preserve">], with detections of proteins at both high and low [O</w:t>
      </w:r>
      <w:r>
        <w:rPr>
          <w:vertAlign w:val="subscript"/>
        </w:rPr>
        <w:t xml:space="preserve">2</w:t>
      </w:r>
      <w:r>
        <w:t xml:space="preserve">], compared to other strains. Complexes from LLIV (including strain MIT9313) were detected across the depth/light and [O</w:t>
      </w:r>
      <w:r>
        <w:rPr>
          <w:vertAlign w:val="subscript"/>
        </w:rPr>
        <w:t xml:space="preserve">2</w:t>
      </w:r>
      <w:r>
        <w:t xml:space="preserve">] ranges, with more detections at deeper, darker depths and at low [O</w:t>
      </w:r>
      <w:r>
        <w:rPr>
          <w:vertAlign w:val="subscript"/>
        </w:rPr>
        <w:t xml:space="preserve">2</w:t>
      </w:r>
      <w:r>
        <w:t xml:space="preserve">], compared to other clades. We note that detections of photosynthetic proteins from strain MIT9313 (dark symbols) show a particular bias towards low [O</w:t>
      </w:r>
      <w:r>
        <w:rPr>
          <w:vertAlign w:val="subscript"/>
        </w:rPr>
        <w:t xml:space="preserve">2</w:t>
      </w:r>
      <w:r>
        <w:t xml:space="preserve">] sampling stations, compared to the wider detections of clade LLIV. Our analyses utilized a proteomics dataset; however, alternate approaches, such as metagenomics or metatranscriptomics, could have been employed to analyze ecotype abundances using the TARA Oceans</w:t>
      </w:r>
      <w:r>
        <w:t xml:space="preserve"> </w:t>
      </w:r>
      <w:r>
        <w:t xml:space="preserve">[66]</w:t>
      </w:r>
      <w:r>
        <w:t xml:space="preserve"> </w:t>
      </w:r>
      <w:r>
        <w:t xml:space="preserve">or other datasets.</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s, with ‘jitter’ offsets up to 15% of full axes scales, to visualize over-laid data points.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origins, with</w:t>
      </w:r>
      <w:r>
        <w:t xml:space="preserve"> </w:t>
      </w:r>
      <w:r>
        <w:t xml:space="preserve">‘</w:t>
      </w:r>
      <w:r>
        <w:t xml:space="preserve">jitter</w:t>
      </w:r>
      <w:r>
        <w:t xml:space="preserve">’</w:t>
      </w:r>
      <w:r>
        <w:t xml:space="preserve"> </w:t>
      </w:r>
      <w:r>
        <w:t xml:space="preserve">offsets up to 15% of full axes scales, to visualize over-laid data points.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537087c4a1a2832aedc2070e4567cbacd4f1897"/>
    <w:p>
      <w:pPr>
        <w:pStyle w:val="Heading2"/>
      </w:pPr>
      <w:r>
        <w:rPr>
          <w:iCs/>
          <w:i/>
        </w:rPr>
        <w:t xml:space="preserve">Prochlorococcus marinus</w:t>
      </w:r>
      <w:r>
        <w:t xml:space="preserve"> </w:t>
      </w:r>
      <w:r>
        <w:t xml:space="preserve">growth rate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 marinus</w:t>
      </w:r>
      <w:r>
        <w:t xml:space="preserve">, we set up a matrix of photoperiods, PAR, and [O</w:t>
      </w:r>
      <w:r>
        <w:rPr>
          <w:vertAlign w:val="subscript"/>
        </w:rPr>
        <w:t xml:space="preserve">2</w:t>
      </w:r>
      <w:r>
        <w:t xml:space="preserve">] to approximate current, and potential future, latitudinal, depth and seasonal niches for</w:t>
      </w:r>
      <w:r>
        <w:t xml:space="preserve"> </w:t>
      </w:r>
      <w:r>
        <w:rPr>
          <w:iCs/>
          <w:i/>
        </w:rPr>
        <w:t xml:space="preserve">P. marinus</w:t>
      </w:r>
      <w:r>
        <w:t xml:space="preserve"> </w:t>
      </w:r>
      <w:r>
        <w:t xml:space="preserve">strains. As</w:t>
      </w:r>
      <w:r>
        <w:t xml:space="preserve"> </w:t>
      </w:r>
      <w:r>
        <w:t xml:space="preserve">mentioned, growth rate trials under red light, although not representative of</w:t>
      </w:r>
      <w:r>
        <w:t xml:space="preserve"> </w:t>
      </w:r>
      <w:r>
        <w:rPr>
          <w:iCs/>
          <w:i/>
        </w:rPr>
        <w:t xml:space="preserve">P. marinus</w:t>
      </w:r>
      <w:r>
        <w:t xml:space="preserve"> </w:t>
      </w:r>
      <w:r>
        <w:t xml:space="preserve">niches, are mechanistically informative</w:t>
      </w:r>
      <w:r>
        <w:t xml:space="preserve"> </w:t>
      </w:r>
      <w:r>
        <w:t xml:space="preserve">[60]</w:t>
      </w:r>
      <w:r>
        <w:t xml:space="preserve"> </w:t>
      </w:r>
      <w:r>
        <w:t xml:space="preserve">regarding photoinactivation of PSII. We implemented measures to minimize shock to cultures from exposure to experimental growth conditions by inoculating them the day before the experiment began, employing a sinusoidal photoperiod with a gradual increase in PAR exposure, and extracting growth rates from logistic curves fit over approximately 5 generations of growth, to accommodate multiple generations to acclimate to the imposed growth conditions</w:t>
      </w:r>
      <w:r>
        <w:t xml:space="preserve"> </w:t>
      </w:r>
      <w:r>
        <w:t xml:space="preserve">[6]</w:t>
      </w:r>
      <w:r>
        <w:t xml:space="preserve">. Although the current subtropical distribution of</w:t>
      </w:r>
      <w:r>
        <w:t xml:space="preserve"> </w:t>
      </w:r>
      <w:r>
        <w:rPr>
          <w:iCs/>
          <w:i/>
        </w:rPr>
        <w:t xml:space="preserve">P. marinus</w:t>
      </w:r>
      <w:r>
        <w:t xml:space="preserve"> </w:t>
      </w:r>
      <w:r>
        <w:t xml:space="preserve">spans a narrow range of photoperiods at the surface, light attenuation with depth shortens effective photoperiods as well as lowering peak PAR. Potential poleward</w:t>
      </w:r>
      <w:r>
        <w:t xml:space="preserve"> </w:t>
      </w:r>
      <w:r>
        <w:t xml:space="preserve">latitudinal range expansions, in combination with attenuation of light with depth, mean</w:t>
      </w:r>
      <w:r>
        <w:t xml:space="preserve"> </w:t>
      </w:r>
      <w:r>
        <w:rPr>
          <w:iCs/>
          <w:i/>
        </w:rPr>
        <w:t xml:space="preserve">P. marinus</w:t>
      </w:r>
      <w:r>
        <w:t xml:space="preserve"> </w:t>
      </w:r>
      <w:r>
        <w:t xml:space="preserve">clades may potentially encounter a wider range of photoperiods. Our growth rate determinations generally agree with those from Moore</w:t>
      </w:r>
      <w:r>
        <w:t xml:space="preserve"> </w:t>
      </w:r>
      <w:r>
        <w:rPr>
          <w:iCs/>
          <w:i/>
        </w:rPr>
        <w:t xml:space="preserve">et al</w:t>
      </w:r>
      <w:r>
        <w:t xml:space="preserve">.</w:t>
      </w:r>
      <w:r>
        <w:t xml:space="preserve"> </w:t>
      </w:r>
      <w:r>
        <w:t xml:space="preserve">[5]</w:t>
      </w:r>
      <w:r>
        <w:t xml:space="preserve">, for white LED and 250 µM O</w:t>
      </w:r>
      <w:r>
        <w:rPr>
          <w:vertAlign w:val="subscript"/>
        </w:rPr>
        <w:t xml:space="preserve">2</w:t>
      </w:r>
      <w:r>
        <w:t xml:space="preserve">, but our study is, to our knowledge, the first to analyze the interactive growth rate responses of</w:t>
      </w:r>
      <w:r>
        <w:t xml:space="preserve"> </w:t>
      </w:r>
      <w:r>
        <w:rPr>
          <w:iCs/>
          <w:i/>
        </w:rPr>
        <w:t xml:space="preserve">P. marinus</w:t>
      </w:r>
      <w:r>
        <w:t xml:space="preserve"> </w:t>
      </w:r>
      <w:r>
        <w:t xml:space="preserve">strains</w:t>
      </w:r>
      <w:r>
        <w:t xml:space="preserve"> </w:t>
      </w:r>
      <w:r>
        <w:t xml:space="preserve">to varying [O</w:t>
      </w:r>
      <w:r>
        <w:rPr>
          <w:vertAlign w:val="subscript"/>
        </w:rPr>
        <w:t xml:space="preserve">2</w:t>
      </w:r>
      <w:r>
        <w:t xml:space="preserve">], photoperiods and spectral wavebands.</w:t>
      </w:r>
    </w:p>
    <w:p>
      <w:pPr>
        <w:pStyle w:val="BodyText"/>
      </w:pPr>
      <w:r>
        <w:t xml:space="preserve">The growth rate for</w:t>
      </w:r>
      <w:r>
        <w:t xml:space="preserve"> </w:t>
      </w:r>
      <w:r>
        <w:rPr>
          <w:iCs/>
          <w:i/>
        </w:rPr>
        <w:t xml:space="preserve">P.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rate trends under 250 µM O</w:t>
      </w:r>
      <w:r>
        <w:rPr>
          <w:vertAlign w:val="subscript"/>
        </w:rPr>
        <w:t xml:space="preserve">2</w:t>
      </w:r>
      <w:r>
        <w:t xml:space="preserve">, MED4 maintained at 25 µM O</w:t>
      </w:r>
      <w:r>
        <w:rPr>
          <w:vertAlign w:val="subscript"/>
        </w:rPr>
        <w:t xml:space="preserve">2</w:t>
      </w:r>
      <w:r>
        <w:t xml:space="preserve"> </w:t>
      </w:r>
      <w:r>
        <w:t xml:space="preserve">showed no growth under any imposed conditions under a 4 h photoperiod and the growth rate increased with higher imposed PAR and longer photoperiods (Fig</w:t>
      </w:r>
      <w:r>
        <w:t xml:space="preserve"> </w:t>
      </w:r>
      <w:r>
        <w:t xml:space="preserve">3</w:t>
      </w:r>
      <w:r>
        <w:t xml:space="preserve">A). The</w:t>
      </w:r>
      <w:r>
        <w:t xml:space="preserve"> </w:t>
      </w:r>
      <w:r>
        <w:t xml:space="preserve">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12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A). 2.5 µM O</w:t>
      </w:r>
      <w:r>
        <w:rPr>
          <w:vertAlign w:val="subscript"/>
        </w:rPr>
        <w:t xml:space="preserve">2</w:t>
      </w:r>
      <w:r>
        <w:t xml:space="preserve"> </w:t>
      </w:r>
      <w:r>
        <w:t xml:space="preserve">growth rate experiments were not conducted for 4 and 16 h photoperiods, as no reproducible growth occurred when MED4 was exposed to 8 and 12 h photoperiods under [O</w:t>
      </w:r>
      <w:r>
        <w:rPr>
          <w:vertAlign w:val="subscript"/>
        </w:rPr>
        <w:t xml:space="preserve">2</w:t>
      </w:r>
      <w:r>
        <w:t xml:space="preserve">] of 2.5 µM .</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 rate</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rates decreased with decreasing</w:t>
      </w:r>
      <w:r>
        <w:t xml:space="preserve"> </w:t>
      </w:r>
      <w:r>
        <w:t xml:space="preserve">photoperiod and decreasing peak PAR. Under red light, growth rates were</w:t>
      </w:r>
      <w:r>
        <w:t xml:space="preserve"> </w:t>
      </w:r>
      <w:r>
        <w:t xml:space="preserve">generally slower but the pattern of growth rate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 rate</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wavebands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deeper regions,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t xml:space="preserve">The growth rates for</w:t>
      </w:r>
      <w:r>
        <w:t xml:space="preserve"> </w:t>
      </w:r>
      <w:r>
        <w:rPr>
          <w:iCs/>
          <w:i/>
        </w:rPr>
        <w:t xml:space="preserve">Prochlorococcus marinus</w:t>
      </w:r>
      <w:r>
        <w:t xml:space="preserve"> </w:t>
      </w:r>
      <w:r>
        <w:t xml:space="preserve">SS120 clade LLII/III, under 250 µM O</w:t>
      </w:r>
      <w:r>
        <w:rPr>
          <w:vertAlign w:val="subscript"/>
        </w:rPr>
        <w:t xml:space="preserve">2</w:t>
      </w:r>
      <w:r>
        <w:t xml:space="preserve">,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w:t>
      </w:r>
      <w:r>
        <w:t xml:space="preserve"> </w:t>
      </w:r>
      <w:r>
        <w:t xml:space="preserve">increased with longer photoperiods (Fig</w:t>
      </w:r>
      <w:r>
        <w:t xml:space="preserve"> </w:t>
      </w:r>
      <w:r>
        <w:t xml:space="preserve">4</w:t>
      </w:r>
      <w:r>
        <w:t xml:space="preserve">A).</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and growth inhibition across all photoperiods under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rate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A). In contrast to the growth rate</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A). 2.5 µM O</w:t>
      </w:r>
      <w:r>
        <w:rPr>
          <w:vertAlign w:val="subscript"/>
        </w:rPr>
        <w:t xml:space="preserve">2</w:t>
      </w:r>
      <w:r>
        <w:t xml:space="preserve"> </w:t>
      </w:r>
      <w:r>
        <w:t xml:space="preserve">growth rate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deep ocean clade LLII/III)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deep ocean clade LLII/III)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rate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12 and 16 h,</w:t>
      </w:r>
      <w:r>
        <w:t xml:space="preserve"> </w:t>
      </w:r>
      <w:r>
        <w:t xml:space="preserve">indicated by the contour line labeled 0.35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Growth rate patterns</w:t>
      </w:r>
      <w:r>
        <w:t xml:space="preserve"> </w:t>
      </w:r>
      <w:r>
        <w:t xml:space="preserve">under red light and 250 µM O</w:t>
      </w:r>
      <w:r>
        <w:rPr>
          <w:vertAlign w:val="subscript"/>
        </w:rPr>
        <w:t xml:space="preserve">2</w:t>
      </w:r>
      <w:r>
        <w:t xml:space="preserve">were similar, although somewhat faster. The disjunct regions of the GAM plot results from variable growth success of SS120 under 250 µM O</w:t>
      </w:r>
      <w:r>
        <w:rPr>
          <w:vertAlign w:val="subscript"/>
        </w:rPr>
        <w:t xml:space="preserve">2</w:t>
      </w:r>
      <w:r>
        <w:t xml:space="preserve">.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was able to grow across most conditions of peak PAR and</w:t>
      </w:r>
      <w:r>
        <w:t xml:space="preserve"> </w:t>
      </w:r>
      <w:r>
        <w:t xml:space="preserve">photoperiod, achieving fastest growth rate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rates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rate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rates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rates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deep ocean clade LLIV)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deep ocean clade LLIV)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 rate</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is able to</w:t>
      </w:r>
      <w:r>
        <w:t xml:space="preserve"> </w:t>
      </w:r>
      <w:r>
        <w:t xml:space="preserve">exploit higher peak PAR, across the range of photoperiods. MIT9313 can exploit all blue or red PAR levels and most photoperiods under 25 µM O</w:t>
      </w:r>
      <w:r>
        <w:rPr>
          <w:vertAlign w:val="subscript"/>
        </w:rPr>
        <w:t xml:space="preserve">2</w:t>
      </w:r>
      <w:r>
        <w:t xml:space="preserve"> </w:t>
      </w:r>
      <w:r>
        <w:t xml:space="preserve">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blue PAR. MIT9313 maintains growth even under 2.5 µM O</w:t>
      </w:r>
      <w:r>
        <w:rPr>
          <w:vertAlign w:val="subscript"/>
        </w:rPr>
        <w:t xml:space="preserve">2</w:t>
      </w:r>
      <w:r>
        <w:t xml:space="preserve">, under photoperiods between 8 and 12 h and peak blue PAR of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ate-responses"/>
    <w:p>
      <w:pPr>
        <w:pStyle w:val="Heading2"/>
      </w:pPr>
      <w:r>
        <w:t xml:space="preserve">PUR and growth rate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rate is a simple response to diel PUR, across</w:t>
      </w:r>
      <w:r>
        <w:t xml:space="preserve"> </w:t>
      </w:r>
      <w:r>
        <w:t xml:space="preserve">imposed photoperiods and spectral wavebands, or whether photoperiods or spectral</w:t>
      </w:r>
      <w:r>
        <w:t xml:space="preserve"> </w:t>
      </w:r>
      <w:r>
        <w:t xml:space="preserve">wavebands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rate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clade HLI,</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 rate</w:t>
      </w:r>
      <w:r>
        <w:t xml:space="preserve"> </w:t>
      </w:r>
      <w:r>
        <w:t xml:space="preserve">[54]</w:t>
      </w:r>
      <w:r>
        <w:t xml:space="preserve"> </w:t>
      </w:r>
      <w:r>
        <w:t xml:space="preserve">to increasing</w:t>
      </w:r>
      <w:r>
        <w:t xml:space="preserve"> </w:t>
      </w:r>
      <w:r>
        <w:t xml:space="preserve">cumulative diel PUR, with saturation of growth rate achieved around 3.0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14</w:t>
      </w:r>
      <w:r>
        <w:t xml:space="preserve"> </w:t>
      </w:r>
      <w:r>
        <w:t xml:space="preserve">A-C.</w:t>
      </w:r>
    </w:p>
    <w:p>
      <w:pPr>
        <w:pStyle w:val="BodyText"/>
      </w:pPr>
      <w:r>
        <w:t xml:space="preserve">The representative of clade LLII/III,</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14</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14</w:t>
      </w:r>
      <w:r>
        <w:t xml:space="preserve">D).</w:t>
      </w:r>
    </w:p>
    <w:p>
      <w:pPr>
        <w:pStyle w:val="BodyText"/>
      </w:pPr>
      <w:r>
        <w:t xml:space="preserve">Under both 25 and 250 µM O</w:t>
      </w:r>
      <w:r>
        <w:rPr>
          <w:vertAlign w:val="subscript"/>
        </w:rPr>
        <w:t xml:space="preserve">2</w:t>
      </w:r>
      <w:r>
        <w:t xml:space="preserve"> </w:t>
      </w:r>
      <w:r>
        <w:t xml:space="preserve">experiments, SS120 growth rate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14</w:t>
      </w:r>
      <w:r>
        <w:t xml:space="preserve"> </w:t>
      </w:r>
      <w:r>
        <w:t xml:space="preserve">D-F.</w:t>
      </w:r>
    </w:p>
    <w:p>
      <w:pPr>
        <w:pStyle w:val="BodyText"/>
      </w:pPr>
      <w:r>
        <w:t xml:space="preserve">The clade LLIV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rate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14</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H). Under 2.5 µM O</w:t>
      </w:r>
      <w:r>
        <w:rPr>
          <w:vertAlign w:val="subscript"/>
        </w:rPr>
        <w:t xml:space="preserve">2</w:t>
      </w:r>
      <w:r>
        <w:t xml:space="preserve">, MIT9313</w:t>
      </w:r>
      <w:r>
        <w:t xml:space="preserve"> </w:t>
      </w:r>
      <w:r>
        <w:t xml:space="preserve">showed a wider, lower, flatter growth rate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14</w:t>
      </w:r>
      <w:r>
        <w:t xml:space="preserve">I).</w:t>
      </w:r>
    </w:p>
    <w:p>
      <w:pPr>
        <w:pStyle w:val="BodyText"/>
      </w:pPr>
      <w:r>
        <w:t xml:space="preserve">As with MED4 and SS120, our data again support enhanced growth rates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 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photoperiods refer to Fig</w:t>
      </w:r>
      <w:r>
        <w:t xml:space="preserve"> </w:t>
      </w:r>
      <w:r>
        <w:t xml:space="preserve">14</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rate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rate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72" w:name="X30ec610b4b34165a6ad0d8e17463a5aab20b936"/>
    <w:p>
      <w:pPr>
        <w:pStyle w:val="Heading2"/>
      </w:pPr>
      <w:r>
        <w:t xml:space="preserve">Photosystem II maintenance, oxygen metabolism, and DNA repair as limitations on</w:t>
      </w:r>
      <w:r>
        <w:t xml:space="preserve"> </w:t>
      </w:r>
      <w:r>
        <w:rPr>
          <w:iCs/>
          <w:i/>
        </w:rPr>
        <w:t xml:space="preserve">Prochlorococcus marinus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 marinus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[67]</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[60,67–69]</w:t>
      </w:r>
      <w:r>
        <w:t xml:space="preserve">. Repair of photoinactivated PSII</w:t>
      </w:r>
      <w:r>
        <w:t xml:space="preserve"> </w:t>
      </w:r>
      <w:r>
        <w:t xml:space="preserve">relies on the removal of damaged PsbA</w:t>
      </w:r>
      <w:r>
        <w:t xml:space="preserve"> </w:t>
      </w:r>
      <w:r>
        <w:t xml:space="preserve">[70,71]</w:t>
      </w:r>
      <w:r>
        <w:t xml:space="preserve">,</w:t>
      </w:r>
      <w:r>
        <w:t xml:space="preserve"> </w:t>
      </w:r>
      <w:r>
        <w:t xml:space="preserve">followed by reassembly with newly synthesized PsbA</w:t>
      </w:r>
      <w:r>
        <w:t xml:space="preserve"> </w:t>
      </w:r>
      <w:r>
        <w:t xml:space="preserve">[72]</w:t>
      </w:r>
      <w:r>
        <w:t xml:space="preserve">. Degradation of PsbA is a</w:t>
      </w:r>
      <w:r>
        <w:t xml:space="preserve"> </w:t>
      </w:r>
      <w:r>
        <w:t xml:space="preserve">rate-limiting step in recovery from photoinhibition</w:t>
      </w:r>
      <w:r>
        <w:t xml:space="preserve"> </w:t>
      </w:r>
      <w:r>
        <w:t xml:space="preserve">[73]</w:t>
      </w:r>
      <w:r>
        <w:t xml:space="preserve">, mediated largely by a heterohexamer,</w:t>
      </w:r>
      <w:r>
        <w:t xml:space="preserve"> </w:t>
      </w:r>
      <w:r>
        <w:t xml:space="preserve">termed in</w:t>
      </w:r>
      <w:r>
        <w:t xml:space="preserve"> </w:t>
      </w:r>
      <w:r>
        <w:rPr>
          <w:iCs/>
          <w:i/>
        </w:rPr>
        <w:t xml:space="preserve">P. marinus</w:t>
      </w:r>
      <w:r>
        <w:t xml:space="preserve"> </w:t>
      </w:r>
      <w:r>
        <w:t xml:space="preserve">(FtsH1-FtsH2)</w:t>
      </w:r>
      <w:r>
        <w:rPr>
          <w:vertAlign w:val="subscript"/>
        </w:rPr>
        <w:t xml:space="preserve">3</w:t>
      </w:r>
      <w:r>
        <w:t xml:space="preserve">, a membrane-bound metalloprotease</w:t>
      </w:r>
      <w:r>
        <w:t xml:space="preserve"> </w:t>
      </w:r>
      <w:r>
        <w:t xml:space="preserve">[74–76]</w:t>
      </w:r>
      <w:r>
        <w:t xml:space="preserve">.</w:t>
      </w:r>
    </w:p>
    <w:p>
      <w:pPr>
        <w:pStyle w:val="BodyText"/>
      </w:pPr>
      <w:r>
        <w:rPr>
          <w:iCs/>
          <w:i/>
        </w:rPr>
        <w:t xml:space="preserve">Prochlorococcus marinus</w:t>
      </w:r>
      <w:r>
        <w:t xml:space="preserve"> </w:t>
      </w:r>
      <w:r>
        <w:t xml:space="preserve">genomes encode 4 FtsH proteins</w:t>
      </w:r>
      <w:r>
        <w:t xml:space="preserve"> </w:t>
      </w:r>
      <w:r>
        <w:t xml:space="preserve">[70,77]</w:t>
      </w:r>
      <w:r>
        <w:t xml:space="preserve">, henceforth referred to as FtsH1-4, homologs to the characterized FtsH isoforms of the model freshwater cyanobacterium</w:t>
      </w:r>
      <w:r>
        <w:t xml:space="preserve"> </w:t>
      </w:r>
      <w:r>
        <w:rPr>
          <w:iCs/>
          <w:i/>
        </w:rPr>
        <w:t xml:space="preserve">Synechocystis sp.</w:t>
      </w:r>
      <w:r>
        <w:t xml:space="preserve"> </w:t>
      </w:r>
      <w:r>
        <w:t xml:space="preserve">PCC6803, and with presumably parallel functions (Table</w:t>
      </w:r>
      <w:r>
        <w:t xml:space="preserve"> </w:t>
      </w:r>
      <w:r>
        <w:t xml:space="preserve">1</w:t>
      </w:r>
      <w:r>
        <w:t xml:space="preserve">). Upon a shift to higher light, clade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[75,77]</w:t>
      </w:r>
      <w:r>
        <w:t xml:space="preserve">. In</w:t>
      </w:r>
      <w:r>
        <w:t xml:space="preserve"> </w:t>
      </w:r>
      <w:r>
        <w:t xml:space="preserve">contrast, representative clade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[79]</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 marinus</w:t>
      </w:r>
      <w:r>
        <w:t xml:space="preserve"> </w:t>
      </w:r>
      <w:r>
        <w:t xml:space="preserve">instead allocates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for FtsH isoforms between</w:t>
      </w:r>
      <w:r>
        <w:t xml:space="preserve"> </w:t>
      </w:r>
      <w:r>
        <w:rPr>
          <w:iCs/>
          <w:i/>
        </w:rPr>
        <w:t xml:space="preserve">Prochlorococcus marinus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for FtsH isoforms between Prochlorococcus marin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w:t>
      </w:r>
      <w:r>
        <w:t xml:space="preserve"> </w:t>
      </w:r>
      <w:r>
        <w:t xml:space="preserve">[43]</w:t>
      </w:r>
      <w:r>
        <w:t xml:space="preserve"> </w:t>
      </w:r>
      <w:r>
        <w:t xml:space="preserve">mediating protein metabolism support this interpretation of distinct FtsH function across clades of</w:t>
      </w:r>
      <w:r>
        <w:t xml:space="preserve"> </w:t>
      </w:r>
      <w:r>
        <w:rPr>
          <w:iCs/>
          <w:i/>
        </w:rPr>
        <w:t xml:space="preserve">P. marinus</w:t>
      </w:r>
      <w:r>
        <w:t xml:space="preserve"> </w:t>
      </w:r>
      <w:r>
        <w:t xml:space="preserve">(Fig</w:t>
      </w:r>
      <w:r>
        <w:t xml:space="preserve"> </w:t>
      </w:r>
      <w:r>
        <w:t xml:space="preserve">7</w:t>
      </w:r>
      <w:r>
        <w:t xml:space="preserve">). Ribosome proteins annotated as from clade HLI (including MED4) were not detected at stations with low [O</w:t>
      </w:r>
      <w:r>
        <w:rPr>
          <w:vertAlign w:val="subscript"/>
        </w:rPr>
        <w:t xml:space="preserve">2</w:t>
      </w:r>
      <w:r>
        <w:t xml:space="preserve">], and near surface detections of ribosomes from clade HLI were far more frequent than detections at depth. Ribosome proteins from clade LLI (including NATL2A); clade LLII/III</w:t>
      </w:r>
      <w:r>
        <w:t xml:space="preserve"> </w:t>
      </w:r>
      <w:r>
        <w:t xml:space="preserve">(including SS120) and clade LLIV (including MIT9313) show generally similar patterns vs. [O</w:t>
      </w:r>
      <w:r>
        <w:rPr>
          <w:vertAlign w:val="subscript"/>
        </w:rPr>
        <w:t xml:space="preserve">2</w:t>
      </w:r>
      <w:r>
        <w:t xml:space="preserve">] and depth, with at least some detections from stations with low [O</w:t>
      </w:r>
      <w:r>
        <w:rPr>
          <w:vertAlign w:val="subscript"/>
        </w:rPr>
        <w:t xml:space="preserve">2</w:t>
      </w:r>
      <w:r>
        <w:t xml:space="preserve">]. FtsH3, inferred to</w:t>
      </w:r>
      <w:r>
        <w:t xml:space="preserve"> </w:t>
      </w:r>
      <w:r>
        <w:t xml:space="preserve">mediate PSI assembly, likewise shows a similar pattern between clade HLI and</w:t>
      </w:r>
      <w:r>
        <w:t xml:space="preserve"> </w:t>
      </w:r>
      <w:r>
        <w:t xml:space="preserve">clade LLIV (Fig</w:t>
      </w:r>
      <w:r>
        <w:t xml:space="preserve"> </w:t>
      </w:r>
      <w:r>
        <w:t xml:space="preserve">7</w:t>
      </w:r>
      <w:r>
        <w:t xml:space="preserve">). Only</w:t>
      </w:r>
      <w:r>
        <w:t xml:space="preserve"> </w:t>
      </w:r>
      <w:r>
        <w:t xml:space="preserve">clade HLI shows the presence of FtsH1 isoforms, inferred to partner with FtsH2, to</w:t>
      </w:r>
      <w:r>
        <w:t xml:space="preserve"> </w:t>
      </w:r>
      <w:r>
        <w:t xml:space="preserve">mediate PSII repair, and then only in near-surface samples subject to</w:t>
      </w:r>
      <w:r>
        <w:t xml:space="preserve"> </w:t>
      </w:r>
      <w:r>
        <w:t xml:space="preserve">higher light levels. Furthermore, even though clade IV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clade IV, nor indeed FtsH from any clade, is detected at low [O</w:t>
      </w:r>
      <w:r>
        <w:rPr>
          <w:vertAlign w:val="subscript"/>
        </w:rPr>
        <w:t xml:space="preserve">2</w:t>
      </w:r>
      <w:r>
        <w:t xml:space="preserve">] (Fig</w:t>
      </w:r>
      <w:r>
        <w:t xml:space="preserve"> </w:t>
      </w:r>
      <w:r>
        <w:t xml:space="preserve">7</w:t>
      </w:r>
      <w:r>
        <w:t xml:space="preserve">), consistent with limited</w:t>
      </w:r>
      <w:r>
        <w:t xml:space="preserve"> </w:t>
      </w:r>
      <w:r>
        <w:t xml:space="preserve">requirements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with a 15% offset to seperate protein detections occupying the same origin.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with a 15% offset to seperate protein detections occupying the same origin.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 studied</w:t>
      </w:r>
      <w:r>
        <w:t xml:space="preserve"> </w:t>
      </w:r>
      <w:r>
        <w:rPr>
          <w:iCs/>
          <w:i/>
        </w:rPr>
        <w:t xml:space="preserve">P. marinus</w:t>
      </w:r>
      <w:r>
        <w:t xml:space="preserve"> </w:t>
      </w:r>
      <w:r>
        <w:t xml:space="preserve">strains, from clades 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[80]</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ubiquinol oxidase excludes MED4 from low oxygen</w:t>
      </w:r>
      <w:r>
        <w:t xml:space="preserve"> </w:t>
      </w:r>
      <w:r>
        <w:t xml:space="preserve">zones. The genome scan shows SS120 and MIT9313 lack the gene for ubiquinol oxidase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[81]</w:t>
      </w:r>
      <w:r>
        <w:t xml:space="preserve">, with an approximate K</w:t>
      </w:r>
      <w:r>
        <w:rPr>
          <w:vertAlign w:val="subscript"/>
        </w:rPr>
        <w:t xml:space="preserve">m</w:t>
      </w:r>
      <w:r>
        <w:t xml:space="preserve"> </w:t>
      </w:r>
      <w:r>
        <w:t xml:space="preserve">for [O</w:t>
      </w:r>
      <w:r>
        <w:rPr>
          <w:vertAlign w:val="subscript"/>
        </w:rPr>
        <w:t xml:space="preserve">2</w:t>
      </w:r>
      <w:r>
        <w:t xml:space="preserve">] of ~250 µM. Growth at lower [O</w:t>
      </w:r>
      <w:r>
        <w:rPr>
          <w:vertAlign w:val="subscript"/>
        </w:rPr>
        <w:t xml:space="preserve">2</w:t>
      </w:r>
      <w:r>
        <w:t xml:space="preserve">] may thus protect MIT9313 from auto-intoxication from production of H</w:t>
      </w:r>
      <w:r>
        <w:rPr>
          <w:vertAlign w:val="subscript"/>
        </w:rPr>
        <w:t xml:space="preserve">2</w:t>
      </w:r>
      <w:r>
        <w:t xml:space="preserve">O</w:t>
      </w:r>
      <w:r>
        <w:rPr>
          <w:vertAlign w:val="subscript"/>
        </w:rPr>
        <w:t xml:space="preserve">2</w:t>
      </w:r>
      <w:r>
        <w:t xml:space="preserve"> </w:t>
      </w:r>
      <w:r>
        <w:t xml:space="preserve">by (S)-2-hydroxy-acid oxidase.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inducible expression of FtsH 1 and 2 in</w:t>
      </w:r>
      <w:r>
        <w:t xml:space="preserve"> </w:t>
      </w:r>
      <w:r>
        <w:rPr>
          <w:iCs/>
          <w:i/>
        </w:rPr>
        <w:t xml:space="preserve">P. marinus</w:t>
      </w:r>
      <w:r>
        <w:t xml:space="preserve"> </w:t>
      </w:r>
      <w:r>
        <w:t xml:space="preserve">MIT9313</w:t>
      </w:r>
      <w:r>
        <w:t xml:space="preserve"> </w:t>
      </w:r>
      <w:r>
        <w:t xml:space="preserve">[48]</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[82]</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[83]</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even under 25 µM O</w:t>
      </w:r>
      <w:r>
        <w:rPr>
          <w:vertAlign w:val="subscript"/>
        </w:rPr>
        <w:t xml:space="preserve">2</w:t>
      </w:r>
      <w:r>
        <w:t xml:space="preserve">, 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To gain insights into the distinct growth rate responses across strains, particularly the responses to different [O</w:t>
      </w:r>
      <w:r>
        <w:rPr>
          <w:vertAlign w:val="subscript"/>
        </w:rPr>
        <w:t xml:space="preserve">2</w:t>
      </w:r>
      <w:r>
        <w:t xml:space="preserve">], we used a dataset of annotated phytoplankton genomes from Omar</w:t>
      </w:r>
      <w:r>
        <w:t xml:space="preserve"> </w:t>
      </w:r>
      <w:r>
        <w:rPr>
          <w:iCs/>
          <w:i/>
        </w:rPr>
        <w:t xml:space="preserve">et al</w:t>
      </w:r>
      <w:r>
        <w:t xml:space="preserve">.</w:t>
      </w:r>
      <w:r>
        <w:t xml:space="preserve"> </w:t>
      </w:r>
      <w:r>
        <w:t xml:space="preserve">[62]</w:t>
      </w:r>
      <w:r>
        <w:t xml:space="preserve">. We tabulated those genes encoding enzymes involved in DNA repair, present in at least one of the</w:t>
      </w:r>
      <w:r>
        <w:t xml:space="preserve"> </w:t>
      </w:r>
      <w:r>
        <w:rPr>
          <w:iCs/>
          <w:i/>
        </w:rPr>
        <w:t xml:space="preserve">P. marinus</w:t>
      </w:r>
      <w:r>
        <w:t xml:space="preserve"> </w:t>
      </w:r>
      <w:r>
        <w:t xml:space="preserve">study strains (Fig</w:t>
      </w:r>
      <w:r>
        <w:t xml:space="preserve"> </w:t>
      </w:r>
      <w:r>
        <w:t xml:space="preserve">9</w:t>
      </w:r>
      <w:r>
        <w:t xml:space="preserve">).</w:t>
      </w:r>
    </w:p>
    <w:p>
      <w:pPr>
        <w:pStyle w:val="BodyText"/>
      </w:pPr>
      <w:r>
        <w:rPr>
          <w:iCs/>
          <w:i/>
        </w:rPr>
        <w:t xml:space="preserve">Prochlorococcus marinus</w:t>
      </w:r>
      <w:r>
        <w:t xml:space="preserve"> </w:t>
      </w:r>
      <w:r>
        <w:t xml:space="preserve">NATL2A and MED4 possess the largest,</w:t>
      </w:r>
      <w:r>
        <w:t xml:space="preserve"> </w:t>
      </w:r>
      <w:r>
        <w:t xml:space="preserve">most complete suites of genes encoding DNA repair enzymes.</w:t>
      </w:r>
      <w:r>
        <w:t xml:space="preserve"> </w:t>
      </w:r>
      <w:r>
        <w:rPr>
          <w:iCs/>
          <w:i/>
        </w:rPr>
        <w:t xml:space="preserve">Prochlorococcus marinus</w:t>
      </w:r>
      <w:r>
        <w:t xml:space="preserve"> </w:t>
      </w:r>
      <w:r>
        <w:t xml:space="preserve">MED4 and NATL2A both possess a gene encoding deoxyribodipyrimidine photolyase (Fig</w:t>
      </w:r>
      <w:r>
        <w:t xml:space="preserve"> </w:t>
      </w:r>
      <w:r>
        <w:t xml:space="preserve">9</w:t>
      </w:r>
      <w:r>
        <w:t xml:space="preserve"> </w:t>
      </w:r>
      <w:r>
        <w:t xml:space="preserve">and</w:t>
      </w:r>
      <w:r>
        <w:t xml:space="preserve"> </w:t>
      </w:r>
      <w:r>
        <w:t xml:space="preserve">15</w:t>
      </w:r>
      <w:r>
        <w:t xml:space="preserve">), which, when activated by blue light, repairs DNA damaged by UV light</w:t>
      </w:r>
      <w:r>
        <w:t xml:space="preserve"> </w:t>
      </w:r>
      <w:r>
        <w:t xml:space="preserve">[84]</w:t>
      </w:r>
      <w:r>
        <w:t xml:space="preserve">.</w:t>
      </w:r>
      <w:r>
        <w:t xml:space="preserve"> </w:t>
      </w:r>
      <w:r>
        <w:rPr>
          <w:iCs/>
          <w:i/>
        </w:rPr>
        <w:t xml:space="preserve">Prochlorococcus marinus</w:t>
      </w:r>
      <w:r>
        <w:t xml:space="preserve"> </w:t>
      </w:r>
      <w:r>
        <w:t xml:space="preserve">MED4 was also the only strain to possess a gene encoding DNA repair ligase, which uses ATP as a cofactor for DNA repair.</w:t>
      </w:r>
    </w:p>
    <w:p>
      <w:pPr>
        <w:pStyle w:val="BodyText"/>
      </w:pPr>
      <w:r>
        <w:t xml:space="preserve">Conversely,</w:t>
      </w:r>
      <w:r>
        <w:t xml:space="preserve"> </w:t>
      </w:r>
      <w:r>
        <w:rPr>
          <w:iCs/>
          <w:i/>
        </w:rPr>
        <w:t xml:space="preserve">P. marinus</w:t>
      </w:r>
      <w:r>
        <w:t xml:space="preserve"> </w:t>
      </w:r>
      <w:r>
        <w:t xml:space="preserve">SS120 and MIT9313 lack genes encoding deoxyribodipyrimidine photolyase and DNA repair ligase (ATP), which may explain, in part, why these two strains cannot tolerate growth under full 250 µM [O</w:t>
      </w:r>
      <w:r>
        <w:rPr>
          <w:vertAlign w:val="subscript"/>
        </w:rPr>
        <w:t xml:space="preserve">2</w:t>
      </w:r>
      <w:r>
        <w:t xml:space="preserve">] and high light, as found at the ocean surface.</w:t>
      </w:r>
      <w:r>
        <w:t xml:space="preserve"> </w:t>
      </w:r>
      <w:r>
        <w:rPr>
          <w:iCs/>
          <w:i/>
        </w:rPr>
        <w:t xml:space="preserve">Prochlorococcus marinus</w:t>
      </w:r>
      <w:r>
        <w:t xml:space="preserve"> </w:t>
      </w:r>
      <w:r>
        <w:t xml:space="preserve">SS120 and MIT9313 do, in contrast, tolerate light levels representative of the near surface ocean at 25 µM [O</w:t>
      </w:r>
      <w:r>
        <w:rPr>
          <w:vertAlign w:val="subscript"/>
        </w:rPr>
        <w:t xml:space="preserve">2</w:t>
      </w:r>
      <w:r>
        <w:t xml:space="preserve">]. Our growth rate experiments did not include wavebands in the UV range, so we do not know whether the absence of deoxyribodipyrimidine photolyase would inhibit the growth rates of</w:t>
      </w:r>
      <w:r>
        <w:t xml:space="preserve"> </w:t>
      </w:r>
      <w:r>
        <w:rPr>
          <w:iCs/>
          <w:i/>
        </w:rPr>
        <w:t xml:space="preserve">P. marinus</w:t>
      </w:r>
      <w:r>
        <w:t xml:space="preserve"> </w:t>
      </w:r>
      <w:r>
        <w:t xml:space="preserve">SS120 and MIT9313 under low [O</w:t>
      </w:r>
      <w:r>
        <w:rPr>
          <w:vertAlign w:val="subscript"/>
        </w:rPr>
        <w:t xml:space="preserve">2</w:t>
      </w:r>
      <w:r>
        <w:t xml:space="preserve">] if exposed to full spectrum, ocean surface light. The protective effects of lower [O</w:t>
      </w:r>
      <w:r>
        <w:rPr>
          <w:vertAlign w:val="subscript"/>
        </w:rPr>
        <w:t xml:space="preserve">2</w:t>
      </w:r>
      <w:r>
        <w:t xml:space="preserve">], allowing these strains to grow at higher light, likely relates in part to suppression of DNA damage when generation of Reactive Oxygen Species (ROS) is suppressed at lower [O</w:t>
      </w:r>
      <w:r>
        <w:rPr>
          <w:vertAlign w:val="subscript"/>
        </w:rPr>
        <w:t xml:space="preserve">2</w:t>
      </w:r>
      <w:r>
        <w:t xml:space="preserve">]. NATL2A, a clade LLI, has been found near the ocean surface during deep ocean mixing</w:t>
      </w:r>
      <w:r>
        <w:t xml:space="preserve"> </w:t>
      </w:r>
      <w:r>
        <w:t xml:space="preserve">[85]</w:t>
      </w:r>
      <w:r>
        <w:t xml:space="preserve"> </w:t>
      </w:r>
      <w:r>
        <w:t xml:space="preserve">events. Malmstrom</w:t>
      </w:r>
      <w:r>
        <w:t xml:space="preserve"> </w:t>
      </w:r>
      <w:r>
        <w:rPr>
          <w:iCs/>
          <w:i/>
        </w:rPr>
        <w:t xml:space="preserve">et al</w:t>
      </w:r>
      <w:r>
        <w:t xml:space="preserve">.</w:t>
      </w:r>
      <w:r>
        <w:t xml:space="preserve"> </w:t>
      </w:r>
      <w:r>
        <w:t xml:space="preserve">[85]</w:t>
      </w:r>
      <w:r>
        <w:t xml:space="preserve"> </w:t>
      </w:r>
      <w:r>
        <w:t xml:space="preserve">indeed attribute NATL2A tolerance of short exposures of high light to presence of genes encoding photolyase, also found in HL clades. The presence of deoxyribodipyrimidine photolyase but absence of DNA repair ligase (ATP)</w:t>
      </w:r>
      <w:r>
        <w:t xml:space="preserve"> </w:t>
      </w:r>
      <w:r>
        <w:t xml:space="preserve">supports why NATL2A tolerates limited exposure to high light, but is unable to fully repair damaged DNA.</w:t>
      </w:r>
      <w:r>
        <w:t xml:space="preserve"> </w:t>
      </w:r>
      <w:r>
        <w:rPr>
          <w:iCs/>
          <w:i/>
        </w:rPr>
        <w:t xml:space="preserve">Prochlorococcus marinus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 marinus</w:t>
      </w:r>
      <w:r>
        <w:t xml:space="preserve"> </w:t>
      </w:r>
      <w:r>
        <w:t xml:space="preserve">allow the ROS, H</w:t>
      </w:r>
      <w:r>
        <w:rPr>
          <w:vertAlign w:val="subscript"/>
        </w:rPr>
        <w:t xml:space="preserve">2</w:t>
      </w:r>
      <w:r>
        <w:t xml:space="preserve">O</w:t>
      </w:r>
      <w:r>
        <w:rPr>
          <w:vertAlign w:val="subscript"/>
        </w:rPr>
        <w:t xml:space="preserve">2</w:t>
      </w:r>
      <w:r>
        <w:t xml:space="preserve">, to cross the cell membrane</w:t>
      </w:r>
      <w:r>
        <w:t xml:space="preserve"> </w:t>
      </w:r>
      <w:r>
        <w:t xml:space="preserve">[86]</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 marinus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deeper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LLII and LLIV clade representatives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[85]</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[85]</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14</w:t>
      </w:r>
      <w:r>
        <w:t xml:space="preserve">E and H), comparable</w:t>
      </w:r>
      <w:r>
        <w:t xml:space="preserve"> </w:t>
      </w:r>
      <w:r>
        <w:t xml:space="preserve">to the representative HL clade, MED4 which also exhibited growth rate</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14</w:t>
      </w:r>
      <w:r>
        <w:t xml:space="preserve">I).</w:t>
      </w:r>
    </w:p>
    <w:p>
      <w:pPr>
        <w:pStyle w:val="BodyText"/>
      </w:pPr>
      <w:r>
        <w:t xml:space="preserve">Potential niche expansions of clades of</w:t>
      </w:r>
      <w:r>
        <w:t xml:space="preserve"> </w:t>
      </w:r>
      <w:r>
        <w:rPr>
          <w:iCs/>
          <w:i/>
        </w:rPr>
        <w:t xml:space="preserve">P. marinus</w:t>
      </w:r>
      <w:r>
        <w:t xml:space="preserve"> </w:t>
      </w:r>
      <w:r>
        <w:t xml:space="preserve">into temperate regions</w:t>
      </w:r>
      <w:r>
        <w:t xml:space="preserve"> </w:t>
      </w:r>
      <w:r>
        <w:t xml:space="preserve">will vary depending on the season, and the depth, which interact to govern the growth limiting factors of peak PAR levels and underwater photoperiods (Fig</w:t>
      </w:r>
      <w:r>
        <w:t xml:space="preserve"> </w:t>
      </w:r>
      <w:r>
        <w:t xml:space="preserve">10</w:t>
      </w:r>
      <w:r>
        <w:t xml:space="preserve">). Temperate summer delivers ~12-14 hours of light, depending upon depth, above a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~9-11 hours; photoperiod ranges permissive for growth of all three</w:t>
      </w:r>
      <w:r>
        <w:t xml:space="preserve"> </w:t>
      </w:r>
      <w:r>
        <w:rPr>
          <w:iCs/>
          <w:i/>
        </w:rPr>
        <w:t xml:space="preserve">P. marinus</w:t>
      </w:r>
      <w:r>
        <w:t xml:space="preserve">. In contrast temperate winter delivers shorter photoperiods which may exclude clade HLI in deeper regions. In parallel, excess peak PAR will exclude clades LLII/III and LLIV from most shallow niches, even under permissive temperatures.</w:t>
      </w:r>
    </w:p>
    <w:p>
      <w:pPr>
        <w:pStyle w:val="BodyText"/>
      </w:pPr>
      <w:r>
        <w:t xml:space="preserve">Expansion of OMZ would drastically alter these patterns of potential niche extensions, by further restricting occurrences of clade HLI, but allowing clade LLIV to exploit a much wider range of lights, extending towards near-surface niches in both tropical and temperate zones, under permissive temperatures.</w:t>
      </w:r>
    </w:p>
    <w:p>
      <w:r>
        <w:br w:type="page"/>
      </w:r>
    </w:p>
    <w:p>
      <w:pPr>
        <w:pStyle w:val="CaptionedFigure"/>
      </w:pPr>
      <w:r>
        <w:drawing>
          <wp:inline>
            <wp:extent cx="5943600" cy="5349240"/>
            <wp:effectExtent b="0" l="0" r="0" t="0"/>
            <wp:docPr descr="Fig 10. Potential Future Niches for Prochlorococcus clades in a warming ocean. The maps shows current latitudinal distribution limits for Prochlorococcus (between green dashed lines), along with tropical and temperate latitudinal regions (yellow bands). Light levels, photoperiods and spectral bands, potentially permissive for growth of Prochlorococcus clades are determined by the interactions of latitude, season and depth attenuation of light. A. Potential clade occupancies under Full Oxygen Zones (250 µM O2) are shown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 B. Oxygen Minimum Zones (25 µM O2)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 title="" id="70" name="Picture"/>
            <a:graphic>
              <a:graphicData uri="http://schemas.openxmlformats.org/drawingml/2006/picture">
                <pic:pic>
                  <pic:nvPicPr>
                    <pic:cNvPr descr="../Output/Figures/NichesMap.png" id="71" name="Picture"/>
                    <pic:cNvPicPr>
                      <a:picLocks noChangeArrowheads="1" noChangeAspect="1"/>
                    </pic:cNvPicPr>
                  </pic:nvPicPr>
                  <pic:blipFill>
                    <a:blip r:embed="rId69"/>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Potential Future Niches for</w:t>
      </w:r>
      <w:r>
        <w:rPr>
          <w:bCs/>
          <w:b/>
        </w:rPr>
        <w:t xml:space="preserve"> </w:t>
      </w:r>
      <w:r>
        <w:rPr>
          <w:iCs/>
          <w:i/>
          <w:bCs/>
          <w:b/>
        </w:rPr>
        <w:t xml:space="preserve">Prochlorococcus</w:t>
      </w:r>
      <w:r>
        <w:rPr>
          <w:bCs/>
          <w:b/>
        </w:rPr>
        <w:t xml:space="preserve"> </w:t>
      </w:r>
      <w:r>
        <w:rPr>
          <w:bCs/>
          <w:b/>
        </w:rPr>
        <w:t xml:space="preserve">clades in a warming ocean.</w:t>
      </w:r>
      <w:r>
        <w:t xml:space="preserve"> </w:t>
      </w:r>
      <w:r>
        <w:t xml:space="preserve">The maps shows current latitudinal distribution limits for</w:t>
      </w:r>
      <w:r>
        <w:t xml:space="preserve"> </w:t>
      </w:r>
      <w:r>
        <w:rPr>
          <w:iCs/>
          <w:i/>
        </w:rPr>
        <w:t xml:space="preserve">Prochlorococcus</w:t>
      </w:r>
      <w:r>
        <w:t xml:space="preserve"> </w:t>
      </w:r>
      <w:r>
        <w:t xml:space="preserve">(between green dashed lines), along with tropical and temperate latitudinal regions (yellow bands). Light levels, photoperiods and spectral bands, potentially permissive for growth of</w:t>
      </w:r>
      <w:r>
        <w:t xml:space="preserve"> </w:t>
      </w:r>
      <w:r>
        <w:rPr>
          <w:iCs/>
          <w:i/>
        </w:rPr>
        <w:t xml:space="preserve">Prochlorococcus</w:t>
      </w:r>
      <w:r>
        <w:t xml:space="preserve"> </w:t>
      </w:r>
      <w:r>
        <w:t xml:space="preserve">clades are determined by the interactions of latitude, season and depth attenuation of light.</w:t>
      </w:r>
      <w:r>
        <w:t xml:space="preserve"> </w:t>
      </w:r>
      <w:r>
        <w:rPr>
          <w:bCs/>
          <w:b/>
        </w:rPr>
        <w:t xml:space="preserve">A.</w:t>
      </w:r>
      <w:r>
        <w:t xml:space="preserve"> </w:t>
      </w:r>
      <w:r>
        <w:t xml:space="preserve">Potential clade occupancies under Full Oxygen Zones (250 µM O</w:t>
      </w:r>
      <w:r>
        <w:rPr>
          <w:vertAlign w:val="subscript"/>
        </w:rPr>
        <w:t xml:space="preserve">2</w:t>
      </w:r>
      <w:r>
        <w:t xml:space="preserve">) are shown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w:t>
      </w:r>
      <w:r>
        <w:t xml:space="preserve"> </w:t>
      </w:r>
      <w:r>
        <w:rPr>
          <w:bCs/>
          <w:b/>
        </w:rPr>
        <w:t xml:space="preserve">B.</w:t>
      </w:r>
      <w:r>
        <w:t xml:space="preserve"> </w:t>
      </w:r>
      <w:r>
        <w:t xml:space="preserve">Oxygen Minimum Zones (25 µM O</w:t>
      </w:r>
      <w:r>
        <w:rPr>
          <w:vertAlign w:val="subscript"/>
        </w:rPr>
        <w:t xml:space="preserve">2</w:t>
      </w:r>
      <w:r>
        <w:t xml:space="preserve">)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w:t>
      </w:r>
    </w:p>
    <w:p>
      <w:r>
        <w:br w:type="page"/>
      </w:r>
    </w:p>
    <w:bookmarkEnd w:id="72"/>
    <w:bookmarkEnd w:id="73"/>
    <w:bookmarkStart w:id="74"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usually found near the ocean</w:t>
      </w:r>
      <w:r>
        <w:t xml:space="preserve"> </w:t>
      </w:r>
      <w:r>
        <w:t xml:space="preserve">surface; clade LLII/III found deeper in the water column; and clade LLIV</w:t>
      </w:r>
      <w:r>
        <w:t xml:space="preserve"> </w:t>
      </w:r>
      <w:r>
        <w:t xml:space="preserve">also found in deep oceans, including current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winters</w:t>
      </w:r>
      <w:r>
        <w:t xml:space="preserve"> </w:t>
      </w:r>
      <w:r>
        <w:t xml:space="preserve">at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[80]</w:t>
      </w:r>
      <w:r>
        <w:t xml:space="preserve"> </w:t>
      </w:r>
      <w:r>
        <w:t xml:space="preserve">suggest MED4 is</w:t>
      </w:r>
      <w:r>
        <w:t xml:space="preserve"> </w:t>
      </w:r>
      <w:r>
        <w:t xml:space="preserve">excluded from growth below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Our growth findings are 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clade LLII/III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14</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 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clades LLII/III and LLIV,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 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clade LLIV representative, shows</w:t>
      </w:r>
      <w:r>
        <w:t xml:space="preserve"> </w:t>
      </w:r>
      <w:r>
        <w:t xml:space="preserve">potential to inhabit future warmer temperate zones year-round, as it</w:t>
      </w:r>
      <w:r>
        <w:t xml:space="preserve"> </w:t>
      </w:r>
      <w:r>
        <w:t xml:space="preserve">grows even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[81]</w:t>
      </w:r>
      <w:r>
        <w:t xml:space="preserve">, with a K</w:t>
      </w:r>
      <w:r>
        <w:rPr>
          <w:vertAlign w:val="subscript"/>
        </w:rPr>
        <w:t xml:space="preserve">m</w:t>
      </w:r>
      <w:r>
        <w:t xml:space="preserve"> </w:t>
      </w:r>
      <w:r>
        <w:t xml:space="preserve">for [O</w:t>
      </w:r>
      <w:r>
        <w:rPr>
          <w:vertAlign w:val="subscript"/>
        </w:rPr>
        <w:t xml:space="preserve">2</w:t>
      </w:r>
      <w:r>
        <w:t xml:space="preserve">] of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Our results are supported by</w:t>
      </w:r>
      <w:r>
        <w:t xml:space="preserve"> </w:t>
      </w:r>
      <w:r>
        <w:t xml:space="preserve">Fig</w:t>
      </w:r>
      <w:r>
        <w:t xml:space="preserve"> </w:t>
      </w:r>
      <w:r>
        <w:t xml:space="preserve">2</w:t>
      </w:r>
      <w:r>
        <w:t xml:space="preserve"> </w:t>
      </w:r>
      <w:r>
        <w:t xml:space="preserve">showing protein</w:t>
      </w:r>
      <w:r>
        <w:t xml:space="preserve"> </w:t>
      </w:r>
      <w:r>
        <w:t xml:space="preserve">subunits derived from MIT9313 detected frequently at depths &gt; 120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[87]</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 marinus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 marinus</w:t>
      </w:r>
      <w:r>
        <w:t xml:space="preserve"> </w:t>
      </w:r>
      <w:r>
        <w:t xml:space="preserve">take up and metabolize various sugars</w:t>
      </w:r>
      <w:r>
        <w:t xml:space="preserve"> </w:t>
      </w:r>
      <w:r>
        <w:t xml:space="preserve">[88–90]</w:t>
      </w:r>
      <w:r>
        <w:t xml:space="preserve"> </w:t>
      </w:r>
      <w:r>
        <w:t xml:space="preserve">and amino acids</w:t>
      </w:r>
      <w:r>
        <w:t xml:space="preserve"> </w:t>
      </w:r>
      <w:r>
        <w:t xml:space="preserve">[91]</w:t>
      </w:r>
      <w:r>
        <w:t xml:space="preserve">. In future work could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pPr>
        <w:pStyle w:val="BodyText"/>
      </w:pPr>
      <w:r>
        <w:t xml:space="preserve">In warming oceans,</w:t>
      </w:r>
      <w:r>
        <w:t xml:space="preserve"> </w:t>
      </w:r>
      <w:r>
        <w:rPr>
          <w:iCs/>
          <w:i/>
        </w:rPr>
        <w:t xml:space="preserve">P. marinus</w:t>
      </w:r>
      <w:r>
        <w:t xml:space="preserve"> </w:t>
      </w:r>
      <w:r>
        <w:t xml:space="preserve">clades will differentially expand into new regions. Competition among clades will be driven not simply by light levels, but by their differing capacities to tolerate and exploit combinations of photoperiods, light levels, and [O</w:t>
      </w:r>
      <w:r>
        <w:rPr>
          <w:vertAlign w:val="subscript"/>
        </w:rPr>
        <w:t xml:space="preserve">2</w:t>
      </w:r>
      <w:r>
        <w:t xml:space="preserve">]. Clade HLI (including MED4) is excluded from short photoperiod regimes, typical of temperate winters at light attenuated depths. In contrast, clade LLIV (including MIT9313) may exploit higher light niches under expanding OMZ conditions, where low O</w:t>
      </w:r>
      <w:r>
        <w:rPr>
          <w:vertAlign w:val="subscript"/>
        </w:rPr>
        <w:t xml:space="preserve">2</w:t>
      </w:r>
      <w:r>
        <w:t xml:space="preserve"> </w:t>
      </w:r>
      <w:r>
        <w:t xml:space="preserve">relieves the stresses of oxidative stress and PSII photoinhibition.</w:t>
      </w:r>
    </w:p>
    <w:p>
      <w:r>
        <w:br w:type="page"/>
      </w:r>
    </w:p>
    <w:bookmarkEnd w:id="74"/>
    <w:bookmarkStart w:id="257" w:name="references"/>
    <w:p>
      <w:pPr>
        <w:pStyle w:val="Heading1"/>
      </w:pPr>
      <w:r>
        <w:t xml:space="preserve">References</w:t>
      </w:r>
    </w:p>
    <w:bookmarkStart w:id="256" w:name="refs"/>
    <w:bookmarkStart w:id="7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5">
        <w:r>
          <w:rPr>
            <w:rStyle w:val="Hyperlink"/>
          </w:rPr>
          <w:t xml:space="preserve">10.1007/BF00245165</w:t>
        </w:r>
      </w:hyperlink>
    </w:p>
    <w:bookmarkEnd w:id="76"/>
    <w:bookmarkStart w:id="78" w:name="X377042c084eff0ee0f053250151116e931fa65d"/>
    <w:p>
      <w:pPr>
        <w:pStyle w:val="Bibliography"/>
      </w:pPr>
      <w:r>
        <w:t xml:space="preserve">2.</w:t>
      </w:r>
      <w:r>
        <w:t xml:space="preserve"> </w:t>
      </w:r>
      <w:r>
        <w:t xml:space="preserve">	</w:t>
      </w:r>
      <w:r>
        <w:t xml:space="preserve">Partensky F, Hess WR, Vaulot D.</w:t>
      </w:r>
      <w:r>
        <w:t xml:space="preserve"> </w:t>
      </w:r>
      <w:hyperlink r:id="rId77">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8"/>
    <w:bookmarkStart w:id="8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9">
        <w:r>
          <w:rPr>
            <w:rStyle w:val="Hyperlink"/>
          </w:rPr>
          <w:t xml:space="preserve">10.1038/nature01947</w:t>
        </w:r>
      </w:hyperlink>
    </w:p>
    <w:bookmarkEnd w:id="80"/>
    <w:bookmarkStart w:id="8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81">
        <w:r>
          <w:rPr>
            <w:rStyle w:val="Hyperlink"/>
          </w:rPr>
          <w:t xml:space="preserve">10.1038/30965</w:t>
        </w:r>
      </w:hyperlink>
    </w:p>
    <w:bookmarkEnd w:id="82"/>
    <w:bookmarkStart w:id="84"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3">
        <w:r>
          <w:rPr>
            <w:rStyle w:val="Hyperlink"/>
          </w:rPr>
          <w:t xml:space="preserve">https://www.jstor.org/stable/44635011</w:t>
        </w:r>
      </w:hyperlink>
    </w:p>
    <w:bookmarkEnd w:id="84"/>
    <w:bookmarkStart w:id="86"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5">
        <w:r>
          <w:rPr>
            <w:rStyle w:val="Hyperlink"/>
          </w:rPr>
          <w:t xml:space="preserve">10.4319/lom.2007.5.353</w:t>
        </w:r>
      </w:hyperlink>
    </w:p>
    <w:bookmarkEnd w:id="86"/>
    <w:bookmarkStart w:id="88"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7">
        <w:r>
          <w:rPr>
            <w:rStyle w:val="Hyperlink"/>
          </w:rPr>
          <w:t xml:space="preserve">10.1038/nrmicro3378</w:t>
        </w:r>
      </w:hyperlink>
    </w:p>
    <w:bookmarkEnd w:id="88"/>
    <w:bookmarkStart w:id="90"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9">
        <w:r>
          <w:rPr>
            <w:rStyle w:val="Hyperlink"/>
          </w:rPr>
          <w:t xml:space="preserve">10.3354/meps068121</w:t>
        </w:r>
      </w:hyperlink>
    </w:p>
    <w:bookmarkEnd w:id="90"/>
    <w:bookmarkStart w:id="92"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91">
        <w:r>
          <w:rPr>
            <w:rStyle w:val="Hyperlink"/>
          </w:rPr>
          <w:t xml:space="preserve">10.1038/334340a0</w:t>
        </w:r>
      </w:hyperlink>
    </w:p>
    <w:bookmarkEnd w:id="92"/>
    <w:bookmarkStart w:id="94"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3">
        <w:r>
          <w:rPr>
            <w:rStyle w:val="Hyperlink"/>
          </w:rPr>
          <w:t xml:space="preserve">10.1146/annurev-marine-120308-081034</w:t>
        </w:r>
      </w:hyperlink>
    </w:p>
    <w:bookmarkEnd w:id="94"/>
    <w:bookmarkStart w:id="96"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5">
        <w:r>
          <w:rPr>
            <w:rStyle w:val="Hyperlink"/>
          </w:rPr>
          <w:t xml:space="preserve">10.1016/S0967-0637(99)00108-9</w:t>
        </w:r>
      </w:hyperlink>
    </w:p>
    <w:bookmarkEnd w:id="96"/>
    <w:bookmarkStart w:id="98"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7">
        <w:r>
          <w:rPr>
            <w:rStyle w:val="Hyperlink"/>
          </w:rPr>
          <w:t xml:space="preserve">10.1111/j.1758-2229.2010.00167.x</w:t>
        </w:r>
      </w:hyperlink>
    </w:p>
    <w:bookmarkEnd w:id="98"/>
    <w:bookmarkStart w:id="100"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9">
        <w:r>
          <w:rPr>
            <w:rStyle w:val="Hyperlink"/>
          </w:rPr>
          <w:t xml:space="preserve">10.1073/pnas.2025638118</w:t>
        </w:r>
      </w:hyperlink>
    </w:p>
    <w:bookmarkEnd w:id="100"/>
    <w:bookmarkStart w:id="102"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01">
        <w:r>
          <w:rPr>
            <w:rStyle w:val="Hyperlink"/>
          </w:rPr>
          <w:t xml:space="preserve">10.1073/pnas.1619844114</w:t>
        </w:r>
      </w:hyperlink>
    </w:p>
    <w:bookmarkEnd w:id="102"/>
    <w:bookmarkStart w:id="104"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3">
        <w:r>
          <w:rPr>
            <w:rStyle w:val="Hyperlink"/>
          </w:rPr>
          <w:t xml:space="preserve">10.1038/s41559-020-01330-x</w:t>
        </w:r>
      </w:hyperlink>
    </w:p>
    <w:bookmarkEnd w:id="104"/>
    <w:bookmarkStart w:id="106"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5">
        <w:r>
          <w:rPr>
            <w:rStyle w:val="Hyperlink"/>
          </w:rPr>
          <w:t xml:space="preserve">10.1016/S0967-0645(99)00041-7</w:t>
        </w:r>
      </w:hyperlink>
    </w:p>
    <w:bookmarkEnd w:id="106"/>
    <w:bookmarkStart w:id="108"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7">
        <w:r>
          <w:rPr>
            <w:rStyle w:val="Hyperlink"/>
          </w:rPr>
          <w:t xml:space="preserve">10.1007/s11120-018-0539-3</w:t>
        </w:r>
      </w:hyperlink>
    </w:p>
    <w:bookmarkEnd w:id="108"/>
    <w:bookmarkStart w:id="110"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9">
        <w:r>
          <w:rPr>
            <w:rStyle w:val="Hyperlink"/>
          </w:rPr>
          <w:t xml:space="preserve">10.1126/science.1118052</w:t>
        </w:r>
      </w:hyperlink>
    </w:p>
    <w:bookmarkEnd w:id="110"/>
    <w:bookmarkStart w:id="112"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11">
        <w:r>
          <w:rPr>
            <w:rStyle w:val="Hyperlink"/>
          </w:rPr>
          <w:t xml:space="preserve">10.4319/lo.2007.52.5.2205</w:t>
        </w:r>
      </w:hyperlink>
    </w:p>
    <w:bookmarkEnd w:id="112"/>
    <w:bookmarkStart w:id="114"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3">
        <w:r>
          <w:rPr>
            <w:rStyle w:val="Hyperlink"/>
          </w:rPr>
          <w:t xml:space="preserve">10.1038/s41396-018-0287-6</w:t>
        </w:r>
      </w:hyperlink>
    </w:p>
    <w:bookmarkEnd w:id="114"/>
    <w:bookmarkStart w:id="116"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5">
        <w:r>
          <w:rPr>
            <w:rStyle w:val="Hyperlink"/>
          </w:rPr>
          <w:t xml:space="preserve">10.1128/AEM.65.6.2585-2591.1999</w:t>
        </w:r>
      </w:hyperlink>
    </w:p>
    <w:bookmarkEnd w:id="116"/>
    <w:bookmarkStart w:id="118"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7">
        <w:r>
          <w:rPr>
            <w:rStyle w:val="Hyperlink"/>
          </w:rPr>
          <w:t xml:space="preserve">10.7717/peerj.4320</w:t>
        </w:r>
      </w:hyperlink>
    </w:p>
    <w:bookmarkEnd w:id="118"/>
    <w:bookmarkStart w:id="120"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9">
        <w:r>
          <w:rPr>
            <w:rStyle w:val="Hyperlink"/>
          </w:rPr>
          <w:t xml:space="preserve">10.1073/pnas.1307701110</w:t>
        </w:r>
      </w:hyperlink>
    </w:p>
    <w:bookmarkEnd w:id="120"/>
    <w:bookmarkStart w:id="122"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21">
        <w:r>
          <w:rPr>
            <w:rStyle w:val="Hyperlink"/>
          </w:rPr>
          <w:t xml:space="preserve">10.1073/pnas.1519080113</w:t>
        </w:r>
      </w:hyperlink>
    </w:p>
    <w:bookmarkEnd w:id="122"/>
    <w:bookmarkStart w:id="124"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3">
        <w:r>
          <w:rPr>
            <w:rStyle w:val="Hyperlink"/>
          </w:rPr>
          <w:t xml:space="preserve">10.1073/pnas.2110993118</w:t>
        </w:r>
      </w:hyperlink>
    </w:p>
    <w:bookmarkEnd w:id="124"/>
    <w:bookmarkStart w:id="126"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5">
        <w:r>
          <w:rPr>
            <w:rStyle w:val="Hyperlink"/>
          </w:rPr>
          <w:t xml:space="preserve">10.1111/jpy.12483</w:t>
        </w:r>
      </w:hyperlink>
    </w:p>
    <w:bookmarkEnd w:id="126"/>
    <w:bookmarkStart w:id="128"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7">
        <w:r>
          <w:rPr>
            <w:rStyle w:val="Hyperlink"/>
          </w:rPr>
          <w:t xml:space="preserve">10.1007/978-94-011-2805-6_1</w:t>
        </w:r>
      </w:hyperlink>
    </w:p>
    <w:bookmarkEnd w:id="128"/>
    <w:bookmarkStart w:id="130"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9">
        <w:r>
          <w:rPr>
            <w:rStyle w:val="Hyperlink"/>
          </w:rPr>
          <w:t xml:space="preserve">10.1126/science.268.5216.1480</w:t>
        </w:r>
      </w:hyperlink>
    </w:p>
    <w:bookmarkEnd w:id="130"/>
    <w:bookmarkStart w:id="132"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31">
        <w:r>
          <w:rPr>
            <w:rStyle w:val="Hyperlink"/>
          </w:rPr>
          <w:t xml:space="preserve">10.3389/fmars.2021.642372</w:t>
        </w:r>
      </w:hyperlink>
    </w:p>
    <w:bookmarkEnd w:id="132"/>
    <w:bookmarkStart w:id="134"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3">
        <w:r>
          <w:rPr>
            <w:rStyle w:val="Hyperlink"/>
          </w:rPr>
          <w:t xml:space="preserve">10.1093/icb/icac069</w:t>
        </w:r>
      </w:hyperlink>
    </w:p>
    <w:bookmarkEnd w:id="134"/>
    <w:bookmarkStart w:id="136"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5">
        <w:r>
          <w:rPr>
            <w:rStyle w:val="Hyperlink"/>
          </w:rPr>
          <w:t xml:space="preserve">10.1029/2002GB001997</w:t>
        </w:r>
      </w:hyperlink>
    </w:p>
    <w:bookmarkEnd w:id="136"/>
    <w:bookmarkStart w:id="138"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7">
        <w:r>
          <w:rPr>
            <w:rStyle w:val="Hyperlink"/>
          </w:rPr>
          <w:t xml:space="preserve">10.1029/2011GL049513</w:t>
        </w:r>
      </w:hyperlink>
    </w:p>
    <w:bookmarkEnd w:id="138"/>
    <w:bookmarkStart w:id="140"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9">
        <w:r>
          <w:rPr>
            <w:rStyle w:val="Hyperlink"/>
          </w:rPr>
          <w:t xml:space="preserve">10.1029/2021AV000470</w:t>
        </w:r>
      </w:hyperlink>
    </w:p>
    <w:bookmarkEnd w:id="140"/>
    <w:bookmarkStart w:id="142"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41">
        <w:r>
          <w:rPr>
            <w:rStyle w:val="Hyperlink"/>
          </w:rPr>
          <w:t xml:space="preserve">10.1021/acs.jproteome.0c00382</w:t>
        </w:r>
      </w:hyperlink>
    </w:p>
    <w:bookmarkEnd w:id="142"/>
    <w:bookmarkStart w:id="144"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3">
        <w:r>
          <w:rPr>
            <w:rStyle w:val="Hyperlink"/>
          </w:rPr>
          <w:t xml:space="preserve">10.4319/lo.1999.44.3.0628</w:t>
        </w:r>
      </w:hyperlink>
    </w:p>
    <w:bookmarkEnd w:id="144"/>
    <w:bookmarkStart w:id="146"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5">
        <w:r>
          <w:rPr>
            <w:rStyle w:val="Hyperlink"/>
          </w:rPr>
          <w:t xml:space="preserve">10.1029/2020GB006824</w:t>
        </w:r>
      </w:hyperlink>
    </w:p>
    <w:bookmarkEnd w:id="146"/>
    <w:bookmarkStart w:id="148"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7">
        <w:r>
          <w:rPr>
            <w:rStyle w:val="Hyperlink"/>
          </w:rPr>
          <w:t xml:space="preserve">10.1016/0146-6291(78)90623-9</w:t>
        </w:r>
      </w:hyperlink>
    </w:p>
    <w:bookmarkEnd w:id="148"/>
    <w:bookmarkStart w:id="150"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9">
        <w:r>
          <w:rPr>
            <w:rStyle w:val="Hyperlink"/>
          </w:rPr>
          <w:t xml:space="preserve">10.4319/lo.1992.37.2.0425</w:t>
        </w:r>
      </w:hyperlink>
    </w:p>
    <w:bookmarkEnd w:id="150"/>
    <w:bookmarkStart w:id="152"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51">
        <w:r>
          <w:rPr>
            <w:rStyle w:val="Hyperlink"/>
          </w:rPr>
          <w:t xml:space="preserve">10.1357/0022240933223963</w:t>
        </w:r>
      </w:hyperlink>
    </w:p>
    <w:bookmarkEnd w:id="152"/>
    <w:bookmarkStart w:id="154"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3">
        <w:r>
          <w:rPr>
            <w:rStyle w:val="Hyperlink"/>
          </w:rPr>
          <w:t xml:space="preserve">10.1023/A:1013835924610</w:t>
        </w:r>
      </w:hyperlink>
    </w:p>
    <w:bookmarkEnd w:id="154"/>
    <w:bookmarkStart w:id="156"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5">
        <w:r>
          <w:rPr>
            <w:rStyle w:val="Hyperlink"/>
          </w:rPr>
          <w:t xml:space="preserve">10.1093/nar/gkaa1025</w:t>
        </w:r>
      </w:hyperlink>
    </w:p>
    <w:bookmarkEnd w:id="156"/>
    <w:bookmarkStart w:id="158"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7">
        <w:r>
          <w:rPr>
            <w:rStyle w:val="Hyperlink"/>
          </w:rPr>
          <w:t xml:space="preserve">10.7284/903696</w:t>
        </w:r>
      </w:hyperlink>
    </w:p>
    <w:bookmarkEnd w:id="158"/>
    <w:bookmarkStart w:id="159"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9"/>
    <w:bookmarkStart w:id="161"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60">
        <w:r>
          <w:rPr>
            <w:rStyle w:val="Hyperlink"/>
          </w:rPr>
          <w:t xml:space="preserve">10.1126/science.1256450</w:t>
        </w:r>
      </w:hyperlink>
    </w:p>
    <w:bookmarkEnd w:id="161"/>
    <w:bookmarkStart w:id="163"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62">
        <w:r>
          <w:rPr>
            <w:rStyle w:val="Hyperlink"/>
          </w:rPr>
          <w:t xml:space="preserve">10.1002/pmic.201400630</w:t>
        </w:r>
      </w:hyperlink>
    </w:p>
    <w:bookmarkEnd w:id="163"/>
    <w:bookmarkStart w:id="165"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4">
        <w:r>
          <w:rPr>
            <w:rStyle w:val="Hyperlink"/>
          </w:rPr>
          <w:t xml:space="preserve">https://CRAN.R-project.org/package=tidyverse</w:t>
        </w:r>
      </w:hyperlink>
    </w:p>
    <w:bookmarkEnd w:id="165"/>
    <w:bookmarkStart w:id="167"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6">
        <w:r>
          <w:rPr>
            <w:rStyle w:val="Hyperlink"/>
          </w:rPr>
          <w:t xml:space="preserve">http://www.posit.co/</w:t>
        </w:r>
      </w:hyperlink>
    </w:p>
    <w:bookmarkEnd w:id="167"/>
    <w:bookmarkStart w:id="169"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8">
        <w:r>
          <w:rPr>
            <w:rStyle w:val="Hyperlink"/>
          </w:rPr>
          <w:t xml:space="preserve">10.1371/journal.pone.0209115</w:t>
        </w:r>
      </w:hyperlink>
    </w:p>
    <w:bookmarkEnd w:id="169"/>
    <w:bookmarkStart w:id="171"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70">
        <w:r>
          <w:rPr>
            <w:rStyle w:val="Hyperlink"/>
          </w:rPr>
          <w:t xml:space="preserve">10.1073/pnas.2200014119</w:t>
        </w:r>
      </w:hyperlink>
    </w:p>
    <w:bookmarkEnd w:id="171"/>
    <w:bookmarkStart w:id="173"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72">
        <w:r>
          <w:rPr>
            <w:rStyle w:val="Hyperlink"/>
          </w:rPr>
          <w:t xml:space="preserve">10.1021/acs.jproteome.0c00385</w:t>
        </w:r>
      </w:hyperlink>
    </w:p>
    <w:bookmarkEnd w:id="173"/>
    <w:bookmarkStart w:id="175"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4">
        <w:r>
          <w:rPr>
            <w:rStyle w:val="Hyperlink"/>
          </w:rPr>
          <w:t xml:space="preserve">10.1128/AEM.02479-07</w:t>
        </w:r>
      </w:hyperlink>
    </w:p>
    <w:bookmarkEnd w:id="175"/>
    <w:bookmarkStart w:id="177"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6">
        <w:r>
          <w:rPr>
            <w:rStyle w:val="Hyperlink"/>
          </w:rPr>
          <w:t xml:space="preserve">10.1371/journal.pone.0016805</w:t>
        </w:r>
      </w:hyperlink>
    </w:p>
    <w:bookmarkEnd w:id="177"/>
    <w:bookmarkStart w:id="179"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8">
        <w:r>
          <w:rPr>
            <w:rStyle w:val="Hyperlink"/>
          </w:rPr>
          <w:t xml:space="preserve">10.1046/j.1529-8817.2001.01052.x</w:t>
        </w:r>
      </w:hyperlink>
    </w:p>
    <w:bookmarkEnd w:id="179"/>
    <w:bookmarkStart w:id="181"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80">
        <w:r>
          <w:rPr>
            <w:rStyle w:val="Hyperlink"/>
          </w:rPr>
          <w:t xml:space="preserve">10.1007/BF00441695</w:t>
        </w:r>
      </w:hyperlink>
    </w:p>
    <w:bookmarkEnd w:id="181"/>
    <w:bookmarkStart w:id="183"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82">
        <w:r>
          <w:rPr>
            <w:rStyle w:val="Hyperlink"/>
          </w:rPr>
          <w:t xml:space="preserve">https://zoo.R-Forge.R-project.org/</w:t>
        </w:r>
      </w:hyperlink>
    </w:p>
    <w:bookmarkEnd w:id="183"/>
    <w:bookmarkStart w:id="185"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4">
        <w:r>
          <w:rPr>
            <w:rStyle w:val="Hyperlink"/>
          </w:rPr>
          <w:t xml:space="preserve">10.1007/s00211-018-0977-z</w:t>
        </w:r>
      </w:hyperlink>
    </w:p>
    <w:bookmarkEnd w:id="185"/>
    <w:bookmarkStart w:id="187"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6">
        <w:r>
          <w:rPr>
            <w:rStyle w:val="Hyperlink"/>
          </w:rPr>
          <w:t xml:space="preserve">https://CRAN.R-project.org/package=minpack.lm</w:t>
        </w:r>
      </w:hyperlink>
    </w:p>
    <w:bookmarkEnd w:id="187"/>
    <w:bookmarkStart w:id="189"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8">
        <w:r>
          <w:rPr>
            <w:rStyle w:val="Hyperlink"/>
          </w:rPr>
          <w:t xml:space="preserve">10.1201/9781315370279</w:t>
        </w:r>
      </w:hyperlink>
    </w:p>
    <w:bookmarkEnd w:id="189"/>
    <w:bookmarkStart w:id="191"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90">
        <w:r>
          <w:rPr>
            <w:rStyle w:val="Hyperlink"/>
          </w:rPr>
          <w:t xml:space="preserve">https://CRAN.R-project.org/package=mgcv</w:t>
        </w:r>
      </w:hyperlink>
    </w:p>
    <w:bookmarkEnd w:id="191"/>
    <w:bookmarkStart w:id="193"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92">
        <w:r>
          <w:rPr>
            <w:rStyle w:val="Hyperlink"/>
          </w:rPr>
          <w:t xml:space="preserve">http://dx.doi.org.libproxy.mta.ca/10.1371/journal.pone.0168991</w:t>
        </w:r>
      </w:hyperlink>
    </w:p>
    <w:bookmarkEnd w:id="193"/>
    <w:bookmarkStart w:id="195"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4">
        <w:r>
          <w:rPr>
            <w:rStyle w:val="Hyperlink"/>
          </w:rPr>
          <w:t xml:space="preserve">10.1016/j.jphotobiol.2005.10.002</w:t>
        </w:r>
      </w:hyperlink>
    </w:p>
    <w:bookmarkEnd w:id="195"/>
    <w:bookmarkStart w:id="197"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6">
        <w:r>
          <w:rPr>
            <w:rStyle w:val="Hyperlink"/>
          </w:rPr>
          <w:t xml:space="preserve">10.5061/DRYAD.KH1893284</w:t>
        </w:r>
      </w:hyperlink>
    </w:p>
    <w:bookmarkEnd w:id="197"/>
    <w:bookmarkStart w:id="199"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8">
        <w:r>
          <w:rPr>
            <w:rStyle w:val="Hyperlink"/>
          </w:rPr>
          <w:t xml:space="preserve">10.1093/bib/bbx085</w:t>
        </w:r>
      </w:hyperlink>
    </w:p>
    <w:bookmarkEnd w:id="199"/>
    <w:bookmarkStart w:id="201"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00">
        <w:r>
          <w:rPr>
            <w:rStyle w:val="Hyperlink"/>
          </w:rPr>
          <w:t xml:space="preserve">10.3390/life5010716</w:t>
        </w:r>
      </w:hyperlink>
    </w:p>
    <w:bookmarkEnd w:id="201"/>
    <w:bookmarkStart w:id="203" w:name="ref-zorzRUBISCOPhotosystemII2015"/>
    <w:p>
      <w:pPr>
        <w:pStyle w:val="Bibliography"/>
      </w:pPr>
      <w:r>
        <w:t xml:space="preserve">65.</w:t>
      </w:r>
      <w:r>
        <w:t xml:space="preserve"> </w:t>
      </w:r>
      <w:r>
        <w:t xml:space="preserve">	</w:t>
      </w:r>
      <w:r>
        <w:t xml:space="preserve">Zorz JK, Allanach JR, Murphy CD, Roodvoets MS, Campbell DA, Cockshutt AM. The</w:t>
      </w:r>
      <w:r>
        <w:t xml:space="preserve"> </w:t>
      </w:r>
      <w:r>
        <w:t xml:space="preserve">RUBISCO</w:t>
      </w:r>
      <w:r>
        <w:t xml:space="preserve"> </w:t>
      </w:r>
      <w:r>
        <w:t xml:space="preserve">to</w:t>
      </w:r>
      <w:r>
        <w:t xml:space="preserve"> </w:t>
      </w:r>
      <w:r>
        <w:t xml:space="preserve">Photosystem II Ratio Limits</w:t>
      </w:r>
      <w:r>
        <w:t xml:space="preserve"> </w:t>
      </w:r>
      <w:r>
        <w:t xml:space="preserve">the</w:t>
      </w:r>
      <w:r>
        <w:t xml:space="preserve"> </w:t>
      </w:r>
      <w:r>
        <w:t xml:space="preserve">Maximum Photosynthetic Rate</w:t>
      </w:r>
      <w:r>
        <w:t xml:space="preserve"> </w:t>
      </w:r>
      <w:r>
        <w:t xml:space="preserve">in</w:t>
      </w:r>
      <w:r>
        <w:t xml:space="preserve"> </w:t>
      </w:r>
      <w:r>
        <w:t xml:space="preserve">Picocyanobacteria</w:t>
      </w:r>
      <w:r>
        <w:t xml:space="preserve">. Life. 2015;5: 403–417. doi:</w:t>
      </w:r>
      <w:hyperlink r:id="rId202">
        <w:r>
          <w:rPr>
            <w:rStyle w:val="Hyperlink"/>
          </w:rPr>
          <w:t xml:space="preserve">10.3390/life5010403</w:t>
        </w:r>
      </w:hyperlink>
    </w:p>
    <w:bookmarkEnd w:id="203"/>
    <w:bookmarkStart w:id="205" w:name="ref-pesantOpenScienceResources2015"/>
    <w:p>
      <w:pPr>
        <w:pStyle w:val="Bibliography"/>
      </w:pPr>
      <w:r>
        <w:t xml:space="preserve">66.</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204">
        <w:r>
          <w:rPr>
            <w:rStyle w:val="Hyperlink"/>
          </w:rPr>
          <w:t xml:space="preserve">10.1038/sdata.2015.23</w:t>
        </w:r>
      </w:hyperlink>
    </w:p>
    <w:bookmarkEnd w:id="205"/>
    <w:bookmarkStart w:id="207" w:name="ref-aroPhotoinhibitionPhotosystemII1993"/>
    <w:p>
      <w:pPr>
        <w:pStyle w:val="Bibliography"/>
      </w:pPr>
      <w:r>
        <w:t xml:space="preserve">67.</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6">
        <w:r>
          <w:rPr>
            <w:rStyle w:val="Hyperlink"/>
          </w:rPr>
          <w:t xml:space="preserve">10.1016/0005-2728(93)90134-2</w:t>
        </w:r>
      </w:hyperlink>
    </w:p>
    <w:bookmarkEnd w:id="207"/>
    <w:bookmarkStart w:id="209" w:name="Xd3d88d412c6c640b605eb77ea2a9e158f43af65"/>
    <w:p>
      <w:pPr>
        <w:pStyle w:val="Bibliography"/>
      </w:pPr>
      <w:r>
        <w:t xml:space="preserve">68.</w:t>
      </w:r>
      <w:r>
        <w:t xml:space="preserve"> </w:t>
      </w:r>
      <w:r>
        <w:t xml:space="preserve">	</w:t>
      </w:r>
      <w:r>
        <w:t xml:space="preserve">Soitamo A, Havurinne V, Tyystjärvi E. Photoinhibition in marine picocyanobacteria. Physiologia Plantarum. 2017;161: 97–108. doi:</w:t>
      </w:r>
      <w:hyperlink r:id="rId208">
        <w:r>
          <w:rPr>
            <w:rStyle w:val="Hyperlink"/>
          </w:rPr>
          <w:t xml:space="preserve">10.1111/ppl.12571</w:t>
        </w:r>
      </w:hyperlink>
    </w:p>
    <w:bookmarkEnd w:id="209"/>
    <w:bookmarkStart w:id="211" w:name="ref-hakalaEvidenceRoleOxygenevolving2005"/>
    <w:p>
      <w:pPr>
        <w:pStyle w:val="Bibliography"/>
      </w:pPr>
      <w:r>
        <w:t xml:space="preserve">69.</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10">
        <w:r>
          <w:rPr>
            <w:rStyle w:val="Hyperlink"/>
          </w:rPr>
          <w:t xml:space="preserve">10.1016/j.bbabio.2004.09.001</w:t>
        </w:r>
      </w:hyperlink>
    </w:p>
    <w:bookmarkEnd w:id="211"/>
    <w:bookmarkStart w:id="213" w:name="ref-mannInvolvementFtsHHomologue2000"/>
    <w:p>
      <w:pPr>
        <w:pStyle w:val="Bibliography"/>
      </w:pPr>
      <w:r>
        <w:t xml:space="preserve">70.</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12">
        <w:r>
          <w:rPr>
            <w:rStyle w:val="Hyperlink"/>
          </w:rPr>
          <w:t xml:space="preserve">10.1016/s0014-5793(00)01871-8</w:t>
        </w:r>
      </w:hyperlink>
    </w:p>
    <w:bookmarkEnd w:id="213"/>
    <w:bookmarkStart w:id="215" w:name="ref-komendaExposedNTerminalTail2007"/>
    <w:p>
      <w:pPr>
        <w:pStyle w:val="Bibliography"/>
      </w:pPr>
      <w:r>
        <w:t xml:space="preserve">71.</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14">
        <w:r>
          <w:rPr>
            <w:rStyle w:val="Hyperlink"/>
          </w:rPr>
          <w:t xml:space="preserve">10.1105/tpc.107.053868</w:t>
        </w:r>
      </w:hyperlink>
    </w:p>
    <w:bookmarkEnd w:id="215"/>
    <w:bookmarkStart w:id="217" w:name="ref-nixonRecentAdvancesUnderstanding2010"/>
    <w:p>
      <w:pPr>
        <w:pStyle w:val="Bibliography"/>
      </w:pPr>
      <w:r>
        <w:t xml:space="preserve">72.</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6">
        <w:r>
          <w:rPr>
            <w:rStyle w:val="Hyperlink"/>
          </w:rPr>
          <w:t xml:space="preserve">10.1093/aob/mcq059</w:t>
        </w:r>
      </w:hyperlink>
    </w:p>
    <w:bookmarkEnd w:id="217"/>
    <w:bookmarkStart w:id="219" w:name="ref-kanervoD1ProteinDegradation1993"/>
    <w:p>
      <w:pPr>
        <w:pStyle w:val="Bibliography"/>
      </w:pPr>
      <w:r>
        <w:t xml:space="preserve">73.</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8">
        <w:r>
          <w:rPr>
            <w:rStyle w:val="Hyperlink"/>
          </w:rPr>
          <w:t xml:space="preserve">10.1016/S0176-1617(11)80900-4</w:t>
        </w:r>
      </w:hyperlink>
    </w:p>
    <w:bookmarkEnd w:id="219"/>
    <w:bookmarkStart w:id="221" w:name="ref-chibaMembraneProteinDegradation2002"/>
    <w:p>
      <w:pPr>
        <w:pStyle w:val="Bibliography"/>
      </w:pPr>
      <w:r>
        <w:t xml:space="preserve">74.</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20">
        <w:r>
          <w:rPr>
            <w:rStyle w:val="Hyperlink"/>
          </w:rPr>
          <w:t xml:space="preserve">10.1128/JB.184.17.4775-4782.2002</w:t>
        </w:r>
      </w:hyperlink>
    </w:p>
    <w:bookmarkEnd w:id="221"/>
    <w:bookmarkStart w:id="223" w:name="X4ccf6fba5c05cec6b30a143631e0da4ed7f96e0"/>
    <w:p>
      <w:pPr>
        <w:pStyle w:val="Bibliography"/>
      </w:pPr>
      <w:r>
        <w:t xml:space="preserve">75.</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22">
        <w:r>
          <w:rPr>
            <w:rStyle w:val="Hyperlink"/>
          </w:rPr>
          <w:t xml:space="preserve">10.1105/tpc.112.100891</w:t>
        </w:r>
      </w:hyperlink>
    </w:p>
    <w:bookmarkEnd w:id="223"/>
    <w:bookmarkStart w:id="225" w:name="ref-sacharzSubCellularLocation2015"/>
    <w:p>
      <w:pPr>
        <w:pStyle w:val="Bibliography"/>
      </w:pPr>
      <w:r>
        <w:t xml:space="preserve">76.</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24">
        <w:r>
          <w:rPr>
            <w:rStyle w:val="Hyperlink"/>
          </w:rPr>
          <w:t xml:space="preserve">10.1111/mmi.12940</w:t>
        </w:r>
      </w:hyperlink>
    </w:p>
    <w:bookmarkEnd w:id="225"/>
    <w:bookmarkStart w:id="227" w:name="ref-adamFtsHProteasesChloroplasts2005"/>
    <w:p>
      <w:pPr>
        <w:pStyle w:val="Bibliography"/>
      </w:pPr>
      <w:r>
        <w:t xml:space="preserve">77.</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krynickaFtsH4ProteaseControls2022"/>
    <w:p>
      <w:pPr>
        <w:pStyle w:val="Bibliography"/>
      </w:pPr>
      <w:r>
        <w:t xml:space="preserve">78.</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8">
        <w:r>
          <w:rPr>
            <w:rStyle w:val="Hyperlink"/>
          </w:rPr>
          <w:t xml:space="preserve">10.1016/j.xplc.2022.100502</w:t>
        </w:r>
      </w:hyperlink>
    </w:p>
    <w:bookmarkEnd w:id="229"/>
    <w:bookmarkStart w:id="231" w:name="ref-konikCyanobacterialFtsH4Protease2024"/>
    <w:p>
      <w:pPr>
        <w:pStyle w:val="Bibliography"/>
      </w:pPr>
      <w:r>
        <w:t xml:space="preserve">79.</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30">
        <w:r>
          <w:rPr>
            <w:rStyle w:val="Hyperlink"/>
          </w:rPr>
          <w:t xml:space="preserve">10.1016/j.bbabio.2023.149017</w:t>
        </w:r>
      </w:hyperlink>
    </w:p>
    <w:bookmarkEnd w:id="231"/>
    <w:bookmarkStart w:id="233" w:name="ref-bergResponsesPsbAHli2011"/>
    <w:p>
      <w:pPr>
        <w:pStyle w:val="Bibliography"/>
      </w:pPr>
      <w:r>
        <w:t xml:space="preserve">80.</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32">
        <w:r>
          <w:rPr>
            <w:rStyle w:val="Hyperlink"/>
          </w:rPr>
          <w:t xml:space="preserve">10.3354/ame01528</w:t>
        </w:r>
      </w:hyperlink>
    </w:p>
    <w:bookmarkEnd w:id="233"/>
    <w:bookmarkStart w:id="235" w:name="ref-cunaneCrystalStructureAnalysis2005"/>
    <w:p>
      <w:pPr>
        <w:pStyle w:val="Bibliography"/>
      </w:pPr>
      <w:r>
        <w:t xml:space="preserve">81.</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34">
        <w:r>
          <w:rPr>
            <w:rStyle w:val="Hyperlink"/>
          </w:rPr>
          <w:t xml:space="preserve">10.1021/bi048616e</w:t>
        </w:r>
      </w:hyperlink>
    </w:p>
    <w:bookmarkEnd w:id="235"/>
    <w:bookmarkStart w:id="237" w:name="Xe0df7677eb0e83af58d9a079cec8291a31d5c04"/>
    <w:p>
      <w:pPr>
        <w:pStyle w:val="Bibliography"/>
      </w:pPr>
      <w:r>
        <w:t xml:space="preserve">82.</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6">
        <w:r>
          <w:rPr>
            <w:rStyle w:val="Hyperlink"/>
          </w:rPr>
          <w:t xml:space="preserve">10.1016/j.febslet.2006.12.028</w:t>
        </w:r>
      </w:hyperlink>
    </w:p>
    <w:bookmarkEnd w:id="237"/>
    <w:bookmarkStart w:id="239" w:name="ref-bilskiVitaminB6Pyridoxine2000"/>
    <w:p>
      <w:pPr>
        <w:pStyle w:val="Bibliography"/>
      </w:pPr>
      <w:r>
        <w:t xml:space="preserve">83.</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8">
        <w:r>
          <w:rPr>
            <w:rStyle w:val="Hyperlink"/>
          </w:rPr>
          <w:t xml:space="preserve">10.1562/0031-8655(2000)0710129SIPVBP2.0.CO2</w:t>
        </w:r>
      </w:hyperlink>
    </w:p>
    <w:bookmarkEnd w:id="239"/>
    <w:bookmarkStart w:id="241" w:name="ref-sancarStructureFunctionDNA2003"/>
    <w:p>
      <w:pPr>
        <w:pStyle w:val="Bibliography"/>
      </w:pPr>
      <w:r>
        <w:t xml:space="preserve">84.</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0">
        <w:r>
          <w:rPr>
            <w:rStyle w:val="Hyperlink"/>
          </w:rPr>
          <w:t xml:space="preserve">10.1021/cr0204348</w:t>
        </w:r>
      </w:hyperlink>
    </w:p>
    <w:bookmarkEnd w:id="241"/>
    <w:bookmarkStart w:id="243" w:name="Xbcf9c99ba8d9f86c9622ce71e03cde3e150c958"/>
    <w:p>
      <w:pPr>
        <w:pStyle w:val="Bibliography"/>
      </w:pPr>
      <w:r>
        <w:t xml:space="preserve">85.</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42">
        <w:r>
          <w:rPr>
            <w:rStyle w:val="Hyperlink"/>
          </w:rPr>
          <w:t xml:space="preserve">10.1038/ismej.2010.60</w:t>
        </w:r>
      </w:hyperlink>
    </w:p>
    <w:bookmarkEnd w:id="243"/>
    <w:bookmarkStart w:id="245" w:name="X99b6b48d829ff4037b291ba9a211586f807c4eb"/>
    <w:p>
      <w:pPr>
        <w:pStyle w:val="Bibliography"/>
      </w:pPr>
      <w:r>
        <w:t xml:space="preserve">86.</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44">
        <w:r>
          <w:rPr>
            <w:rStyle w:val="Hyperlink"/>
          </w:rPr>
          <w:t xml:space="preserve">10.3390/microorganisms10040821</w:t>
        </w:r>
      </w:hyperlink>
    </w:p>
    <w:bookmarkEnd w:id="245"/>
    <w:bookmarkStart w:id="247" w:name="X7a61e8301ea1be8b48319bac4cc8736ca470acf"/>
    <w:p>
      <w:pPr>
        <w:pStyle w:val="Bibliography"/>
      </w:pPr>
      <w:r>
        <w:t xml:space="preserve">87.</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6">
        <w:r>
          <w:rPr>
            <w:rStyle w:val="Hyperlink"/>
          </w:rPr>
          <w:t xml:space="preserve">10.1038/ismej.2015.36</w:t>
        </w:r>
      </w:hyperlink>
    </w:p>
    <w:bookmarkEnd w:id="247"/>
    <w:bookmarkStart w:id="249" w:name="ref-gomez-baenaGlucoseUptakeIts2008"/>
    <w:p>
      <w:pPr>
        <w:pStyle w:val="Bibliography"/>
      </w:pPr>
      <w:r>
        <w:t xml:space="preserve">88.</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8">
        <w:r>
          <w:rPr>
            <w:rStyle w:val="Hyperlink"/>
          </w:rPr>
          <w:t xml:space="preserve">10.1371/journal.pone.0003416</w:t>
        </w:r>
      </w:hyperlink>
    </w:p>
    <w:bookmarkEnd w:id="249"/>
    <w:bookmarkStart w:id="251" w:name="X9572c221e94a3d5fdec6df75457b5a8b9bceb0b"/>
    <w:p>
      <w:pPr>
        <w:pStyle w:val="Bibliography"/>
      </w:pPr>
      <w:r>
        <w:t xml:space="preserve">89.</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0">
        <w:r>
          <w:rPr>
            <w:rStyle w:val="Hyperlink"/>
          </w:rPr>
          <w:t xml:space="preserve">10.3389/fmicb.2017.00327</w:t>
        </w:r>
      </w:hyperlink>
    </w:p>
    <w:bookmarkEnd w:id="251"/>
    <w:bookmarkStart w:id="253" w:name="ref-munoz-marinProchlorococcusCanUse2013"/>
    <w:p>
      <w:pPr>
        <w:pStyle w:val="Bibliography"/>
      </w:pPr>
      <w:r>
        <w:t xml:space="preserve">90.</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2">
        <w:r>
          <w:rPr>
            <w:rStyle w:val="Hyperlink"/>
          </w:rPr>
          <w:t xml:space="preserve">10.1073/pnas.1221775110</w:t>
        </w:r>
      </w:hyperlink>
    </w:p>
    <w:bookmarkEnd w:id="253"/>
    <w:bookmarkStart w:id="255" w:name="ref-zubkovDepthRelatedAmino2004"/>
    <w:p>
      <w:pPr>
        <w:pStyle w:val="Bibliography"/>
      </w:pPr>
      <w:r>
        <w:t xml:space="preserve">91.</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54">
        <w:r>
          <w:rPr>
            <w:rStyle w:val="Hyperlink"/>
          </w:rPr>
          <w:t xml:space="preserve">10.1016/j.femsec.2004.06.009</w:t>
        </w:r>
      </w:hyperlink>
    </w:p>
    <w:bookmarkEnd w:id="255"/>
    <w:bookmarkEnd w:id="256"/>
    <w:p>
      <w:r>
        <w:br w:type="page"/>
      </w:r>
    </w:p>
    <w:bookmarkEnd w:id="257"/>
    <w:bookmarkStart w:id="273" w:name="supporting-information"/>
    <w:p>
      <w:pPr>
        <w:pStyle w:val="Heading1"/>
      </w:pPr>
      <w:r>
        <w:t xml:space="preserve">Supporting information</w:t>
      </w:r>
    </w:p>
    <w:p>
      <w:pPr>
        <w:pStyle w:val="CaptionedFigure"/>
      </w:pPr>
      <w:r>
        <w:drawing>
          <wp:inline>
            <wp:extent cx="5943600" cy="3343275"/>
            <wp:effectExtent b="0" l="0" r="0" t="0"/>
            <wp:docPr descr="Fig 11.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9" name="Picture"/>
            <a:graphic>
              <a:graphicData uri="http://schemas.openxmlformats.org/drawingml/2006/picture">
                <pic:pic>
                  <pic:nvPicPr>
                    <pic:cNvPr descr="../Output/Figures/LabeledMC.png" id="260" name="Picture"/>
                    <pic:cNvPicPr>
                      <a:picLocks noChangeArrowheads="1" noChangeAspect="1"/>
                    </pic:cNvPicPr>
                  </pic:nvPicPr>
                  <pic:blipFill>
                    <a:blip r:embed="rId25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2.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rate curves fit using a nonlinear model regression (R package, minpack.lm). The gold points are the residuals of the fit. Meta data associated with each Multicultivator tube are in columns." title="" id="262" name="Picture"/>
            <a:graphic>
              <a:graphicData uri="http://schemas.openxmlformats.org/drawingml/2006/picture">
                <pic:pic>
                  <pic:nvPicPr>
                    <pic:cNvPr descr="../Output/Figures/deltaODLogGrowthPlot.png" id="263" name="Picture"/>
                    <pic:cNvPicPr>
                      <a:picLocks noChangeArrowheads="1" noChangeAspect="1"/>
                    </pic:cNvPicPr>
                  </pic:nvPicPr>
                  <pic:blipFill>
                    <a:blip r:embed="rId2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rate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3.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5" name="Picture"/>
            <a:graphic>
              <a:graphicData uri="http://schemas.openxmlformats.org/drawingml/2006/picture">
                <pic:pic>
                  <pic:nvPicPr>
                    <pic:cNvPr descr="../Output/Figures/OverlayPlots.png" id="266" name="Picture"/>
                    <pic:cNvPicPr>
                      <a:picLocks noChangeArrowheads="1" noChangeAspect="1"/>
                    </pic:cNvPicPr>
                  </pic:nvPicPr>
                  <pic:blipFill>
                    <a:blip r:embed="rId26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4.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8" name="Picture"/>
            <a:graphic>
              <a:graphicData uri="http://schemas.openxmlformats.org/drawingml/2006/picture">
                <pic:pic>
                  <pic:nvPicPr>
                    <pic:cNvPr descr="../Output/Figures/PhotoperiodPurFitsPlots.png" id="269" name="Picture"/>
                    <pic:cNvPicPr>
                      <a:picLocks noChangeArrowheads="1" noChangeAspect="1"/>
                    </pic:cNvPicPr>
                  </pic:nvPicPr>
                  <pic:blipFill>
                    <a:blip r:embed="rId26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5. Prochlorococcus marin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71" name="Picture"/>
            <a:graphic>
              <a:graphicData uri="http://schemas.openxmlformats.org/drawingml/2006/picture">
                <pic:pic>
                  <pic:nvPicPr>
                    <pic:cNvPr descr="../Output/Figures/ProchlorococcusLightEnzymes.png" id="272" name="Picture"/>
                    <pic:cNvPicPr>
                      <a:picLocks noChangeArrowheads="1" noChangeAspect="1"/>
                    </pic:cNvPicPr>
                  </pic:nvPicPr>
                  <pic:blipFill>
                    <a:blip r:embed="rId27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15.</w:t>
      </w:r>
      <w:r>
        <w:t xml:space="preserve"> </w:t>
      </w:r>
      <w:r>
        <w:rPr>
          <w:iCs/>
          <w:i/>
          <w:bCs/>
          <w:b/>
        </w:rPr>
        <w:t xml:space="preserve">Prochlorococcus marinus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2: Enzymes shown in Fig</w:t>
      </w:r>
      <w:r>
        <w:t xml:space="preserve"> </w:t>
      </w:r>
      <w:r>
        <w:t xml:space="preserve">8</w:t>
      </w:r>
      <w:r>
        <w:t xml:space="preserve">,</w:t>
      </w:r>
      <w:r>
        <w:t xml:space="preserve"> </w:t>
      </w:r>
      <w:r>
        <w:t xml:space="preserve">9</w:t>
      </w:r>
      <w:r>
        <w:t xml:space="preserve"> </w:t>
      </w:r>
      <w:r>
        <w:t xml:space="preserve">and</w:t>
      </w:r>
      <w:r>
        <w:t xml:space="preserve"> </w:t>
      </w:r>
      <w:r>
        <w:t xml:space="preserve">15</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 8, 9 and 15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73"/>
    <w:bookmarkStart w:id="275" w:name="data-availability"/>
    <w:p>
      <w:pPr>
        <w:pStyle w:val="Heading1"/>
      </w:pPr>
      <w:r>
        <w:t xml:space="preserve">Data availability</w:t>
      </w:r>
    </w:p>
    <w:p>
      <w:pPr>
        <w:pStyle w:val="FirstParagraph"/>
      </w:pPr>
      <w:r>
        <w:t xml:space="preserve">All data and annotated code for data import, transformations and analyses are</w:t>
      </w:r>
      <w:r>
        <w:t xml:space="preserve"> </w:t>
      </w:r>
      <w:r>
        <w:t xml:space="preserve">available at are available on the figshare data repository (DOI: 10.6084/m9.figshare.25959061).</w:t>
      </w:r>
    </w:p>
    <w:p>
      <w:pPr>
        <w:pStyle w:val="BodyText"/>
      </w:pPr>
      <w:r>
        <w:t xml:space="preserve">All data and annotated code are also available at</w:t>
      </w:r>
      <w:r>
        <w:t xml:space="preserve"> </w:t>
      </w:r>
      <w:hyperlink r:id="rId274">
        <w:r>
          <w:rPr>
            <w:rStyle w:val="Hyperlink"/>
          </w:rPr>
          <w:t xml:space="preserve">https://github.com/FundyPhytoPhys/prochlorococcus_o2</w:t>
        </w:r>
      </w:hyperlink>
    </w:p>
    <w:bookmarkEnd w:id="275"/>
    <w:bookmarkStart w:id="276"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6"/>
    <w:bookmarkStart w:id="277"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7"/>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8" Target="media/rId258.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69" Target="media/rId69.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63" Target="media/rId63.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61" Target="media/rId261.png" /><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4" Target="https://github.com/FundyPhytoPhys/prochlorococcus_o2"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4" Target="https://github.com/FundyPhytoPhys/prochlorococcus_o2"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2024-06-10T21:57:36Z</dcterms:created>
  <dcterms:modified xsi:type="dcterms:W3CDTF">2024-06-10T21:57:36Z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2024-06-10</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